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9C95" w14:textId="77777777" w:rsidR="00C05913" w:rsidRPr="00156E3C" w:rsidRDefault="00C05913" w:rsidP="00C05913">
      <w:pPr>
        <w:spacing w:after="120"/>
        <w:jc w:val="center"/>
        <w:rPr>
          <w:rFonts w:cs="Arial"/>
          <w:b/>
          <w:sz w:val="24"/>
        </w:rPr>
      </w:pPr>
      <w:r>
        <w:rPr>
          <w:rFonts w:cs="Arial"/>
          <w:b/>
          <w:sz w:val="24"/>
        </w:rPr>
        <w:t>TIÊU CHUẨN VIỆT NAM</w:t>
      </w:r>
    </w:p>
    <w:p w14:paraId="5974F1F2" w14:textId="77777777" w:rsidR="00C05913" w:rsidRPr="005A6D01" w:rsidRDefault="00C05913" w:rsidP="00C05913">
      <w:pPr>
        <w:spacing w:before="120"/>
        <w:jc w:val="center"/>
        <w:rPr>
          <w:b/>
          <w:sz w:val="24"/>
        </w:rPr>
      </w:pPr>
      <w:r>
        <w:rPr>
          <w:b/>
          <w:sz w:val="24"/>
        </w:rPr>
        <w:t>TCVN 7286 : 2003</w:t>
      </w:r>
    </w:p>
    <w:p w14:paraId="7672A761" w14:textId="77777777" w:rsidR="00C05913" w:rsidRDefault="00C05913" w:rsidP="00C05913">
      <w:pPr>
        <w:spacing w:before="120"/>
        <w:jc w:val="center"/>
        <w:rPr>
          <w:i/>
        </w:rPr>
      </w:pPr>
      <w:r w:rsidRPr="005A6D01">
        <w:t>BẢN VẼ KỸ THUẬT – TỶ LỆ</w:t>
      </w:r>
      <w:r>
        <w:br/>
      </w:r>
      <w:r>
        <w:rPr>
          <w:i/>
        </w:rPr>
        <w:t>Technical drawings - Scales</w:t>
      </w:r>
    </w:p>
    <w:p w14:paraId="278C259B" w14:textId="77777777" w:rsidR="00C05913" w:rsidRDefault="00C05913" w:rsidP="00C05913">
      <w:pPr>
        <w:spacing w:before="120"/>
        <w:jc w:val="both"/>
        <w:rPr>
          <w:b/>
        </w:rPr>
      </w:pPr>
      <w:r>
        <w:rPr>
          <w:b/>
        </w:rPr>
        <w:t xml:space="preserve">1. Phạm vi áp dụng </w:t>
      </w:r>
    </w:p>
    <w:p w14:paraId="468B7E67" w14:textId="77777777" w:rsidR="00C05913" w:rsidRDefault="00C05913" w:rsidP="00C05913">
      <w:pPr>
        <w:spacing w:before="120"/>
        <w:jc w:val="both"/>
      </w:pPr>
      <w:r>
        <w:t xml:space="preserve">Tiêu chuẩn này quy định tỷ lệ và ký hiệu tỷ lệ dùng trên các bản vẽ kỹ thuật trong mọi lĩnh vực kỹ thuật </w:t>
      </w:r>
    </w:p>
    <w:p w14:paraId="707D201D" w14:textId="77777777" w:rsidR="00C05913" w:rsidRDefault="00C05913" w:rsidP="00C05913">
      <w:pPr>
        <w:spacing w:before="120"/>
        <w:jc w:val="both"/>
        <w:rPr>
          <w:b/>
        </w:rPr>
      </w:pPr>
      <w:r>
        <w:rPr>
          <w:b/>
        </w:rPr>
        <w:t>Định nghĩa</w:t>
      </w:r>
    </w:p>
    <w:p w14:paraId="0B45EB8E" w14:textId="77777777" w:rsidR="00C05913" w:rsidRDefault="00C05913" w:rsidP="00C05913">
      <w:pPr>
        <w:spacing w:before="120"/>
        <w:jc w:val="both"/>
      </w:pPr>
      <w:r>
        <w:rPr>
          <w:b/>
        </w:rPr>
        <w:t xml:space="preserve">2.1. Tỷ lệ (Scales): </w:t>
      </w:r>
      <w:r>
        <w:t>Tỷ số giữa kích thước dài của một phần tử vật thể biểu diễn trong bản vẽ gốc và kích thước dài thực của chính phần tử đó.</w:t>
      </w:r>
    </w:p>
    <w:p w14:paraId="146A532C" w14:textId="77777777" w:rsidR="00C05913" w:rsidRDefault="00C05913" w:rsidP="00C05913">
      <w:pPr>
        <w:spacing w:before="120"/>
        <w:jc w:val="both"/>
      </w:pPr>
      <w:r>
        <w:t>Chú thích – Tỷ lệ của một bản in có thể khác với tỉ lệ của bản vẽ gốc.</w:t>
      </w:r>
    </w:p>
    <w:p w14:paraId="4E057562" w14:textId="77777777" w:rsidR="00C05913" w:rsidRDefault="00C05913" w:rsidP="00C05913">
      <w:pPr>
        <w:spacing w:before="120"/>
        <w:jc w:val="both"/>
      </w:pPr>
      <w:r>
        <w:rPr>
          <w:b/>
        </w:rPr>
        <w:t>2.2. Tỷ lệ nguyên hình (Full scale):</w:t>
      </w:r>
      <w:r>
        <w:t xml:space="preserve"> Tỷ lệ với tỷ số 1:1</w:t>
      </w:r>
    </w:p>
    <w:p w14:paraId="4275057F" w14:textId="77777777" w:rsidR="00C05913" w:rsidRDefault="00C05913" w:rsidP="00C05913">
      <w:pPr>
        <w:spacing w:before="120"/>
        <w:jc w:val="both"/>
      </w:pPr>
      <w:r>
        <w:rPr>
          <w:b/>
        </w:rPr>
        <w:t xml:space="preserve">2.3. Tỷ lệ phóng to (Enlargement scale): </w:t>
      </w:r>
      <w:r>
        <w:t>Tỷ lệ với tỷ số lớn hơn 1:1. Tỷ lệ được gọi là lớn hơn do tỷ số của nó t</w:t>
      </w:r>
      <w:r w:rsidRPr="005A6D01">
        <w:t>ă</w:t>
      </w:r>
      <w:r>
        <w:t>ng l</w:t>
      </w:r>
      <w:r w:rsidRPr="005A6D01">
        <w:t>ê</w:t>
      </w:r>
      <w:r>
        <w:t>n.</w:t>
      </w:r>
    </w:p>
    <w:p w14:paraId="1E60AB43" w14:textId="77777777" w:rsidR="00C05913" w:rsidRDefault="00C05913" w:rsidP="00C05913">
      <w:pPr>
        <w:spacing w:before="120"/>
        <w:jc w:val="both"/>
      </w:pPr>
      <w:r>
        <w:rPr>
          <w:b/>
        </w:rPr>
        <w:t>2.4. T</w:t>
      </w:r>
      <w:r w:rsidRPr="005A6D01">
        <w:rPr>
          <w:b/>
        </w:rPr>
        <w:t>ỷ</w:t>
      </w:r>
      <w:r>
        <w:rPr>
          <w:b/>
        </w:rPr>
        <w:t xml:space="preserve"> l</w:t>
      </w:r>
      <w:r w:rsidRPr="005A6D01">
        <w:rPr>
          <w:b/>
        </w:rPr>
        <w:t>ệ</w:t>
      </w:r>
      <w:r>
        <w:rPr>
          <w:b/>
        </w:rPr>
        <w:t xml:space="preserve"> thu nh</w:t>
      </w:r>
      <w:r w:rsidRPr="005A6D01">
        <w:rPr>
          <w:b/>
        </w:rPr>
        <w:t>ỏ</w:t>
      </w:r>
      <w:r>
        <w:rPr>
          <w:b/>
        </w:rPr>
        <w:t xml:space="preserve"> (Reduction scale):</w:t>
      </w:r>
      <w:r>
        <w:t xml:space="preserve"> T</w:t>
      </w:r>
      <w:r w:rsidRPr="005A6D01">
        <w:t>ỷ</w:t>
      </w:r>
      <w:r>
        <w:t xml:space="preserve"> l</w:t>
      </w:r>
      <w:r w:rsidRPr="005A6D01">
        <w:t>ệ</w:t>
      </w:r>
      <w:r>
        <w:t xml:space="preserve"> v</w:t>
      </w:r>
      <w:r w:rsidRPr="005A6D01">
        <w:t>ới</w:t>
      </w:r>
      <w:r>
        <w:t xml:space="preserve"> t</w:t>
      </w:r>
      <w:r w:rsidRPr="005A6D01">
        <w:t>ỷ</w:t>
      </w:r>
      <w:r>
        <w:t xml:space="preserve"> s</w:t>
      </w:r>
      <w:r w:rsidRPr="005A6D01">
        <w:t>ố</w:t>
      </w:r>
      <w:r>
        <w:t xml:space="preserve"> nh</w:t>
      </w:r>
      <w:r w:rsidRPr="005A6D01">
        <w:t>ỏ</w:t>
      </w:r>
      <w:r>
        <w:t xml:space="preserve"> h</w:t>
      </w:r>
      <w:r w:rsidRPr="005A6D01">
        <w:t>ơ</w:t>
      </w:r>
      <w:r>
        <w:t>n 1:1. T</w:t>
      </w:r>
      <w:r w:rsidRPr="005A6D01">
        <w:t>ỷ</w:t>
      </w:r>
      <w:r>
        <w:t xml:space="preserve"> l</w:t>
      </w:r>
      <w:r w:rsidRPr="005A6D01">
        <w:t>ệ</w:t>
      </w:r>
      <w:r>
        <w:t xml:space="preserve"> </w:t>
      </w:r>
      <w:r w:rsidRPr="005A6D01">
        <w:t>đượ</w:t>
      </w:r>
      <w:r>
        <w:t>c g</w:t>
      </w:r>
      <w:r w:rsidRPr="005A6D01">
        <w:t>ọi</w:t>
      </w:r>
      <w:r>
        <w:t xml:space="preserve"> l</w:t>
      </w:r>
      <w:r w:rsidRPr="005A6D01">
        <w:t>à</w:t>
      </w:r>
      <w:r>
        <w:t xml:space="preserve"> nh</w:t>
      </w:r>
      <w:r w:rsidRPr="005A6D01">
        <w:t>ỏ</w:t>
      </w:r>
      <w:r>
        <w:t xml:space="preserve"> h</w:t>
      </w:r>
      <w:r w:rsidRPr="005A6D01">
        <w:t>ơ</w:t>
      </w:r>
      <w:r>
        <w:t>n do t</w:t>
      </w:r>
      <w:r w:rsidRPr="005A6D01">
        <w:t>ỷ</w:t>
      </w:r>
      <w:r>
        <w:t xml:space="preserve"> s</w:t>
      </w:r>
      <w:r w:rsidRPr="005A6D01">
        <w:t>ố</w:t>
      </w:r>
      <w:r>
        <w:t xml:space="preserve"> c</w:t>
      </w:r>
      <w:r w:rsidRPr="005A6D01">
        <w:t>ủ</w:t>
      </w:r>
      <w:r>
        <w:t>a n</w:t>
      </w:r>
      <w:r w:rsidRPr="005A6D01">
        <w:t>ó</w:t>
      </w:r>
      <w:r>
        <w:t xml:space="preserve"> giảm xuống.</w:t>
      </w:r>
    </w:p>
    <w:p w14:paraId="7D96DFCF" w14:textId="77777777" w:rsidR="00C05913" w:rsidRDefault="00C05913" w:rsidP="00C05913">
      <w:pPr>
        <w:spacing w:before="120"/>
        <w:jc w:val="both"/>
        <w:rPr>
          <w:b/>
        </w:rPr>
      </w:pPr>
      <w:r>
        <w:rPr>
          <w:b/>
        </w:rPr>
        <w:t>Ký hiệu</w:t>
      </w:r>
    </w:p>
    <w:p w14:paraId="20150A6D" w14:textId="77777777" w:rsidR="00C05913" w:rsidRDefault="00C05913" w:rsidP="00C05913">
      <w:pPr>
        <w:spacing w:before="120"/>
        <w:jc w:val="both"/>
      </w:pPr>
      <w:r>
        <w:t>Ký hiệu đầy đủ gồm có chữ “TỈ LỆ” và tiếp sau đó là tỷ số, như sau:</w:t>
      </w:r>
    </w:p>
    <w:p w14:paraId="623DC5BF" w14:textId="77777777" w:rsidR="00C05913" w:rsidRDefault="00C05913" w:rsidP="00C05913">
      <w:pPr>
        <w:spacing w:before="120"/>
        <w:jc w:val="both"/>
      </w:pPr>
      <w:r>
        <w:t>- TỈ LỆ 1:1 cho tỉ lệ nguyên hình</w:t>
      </w:r>
    </w:p>
    <w:p w14:paraId="76D81B88" w14:textId="77777777" w:rsidR="00C05913" w:rsidRDefault="00C05913" w:rsidP="00C05913">
      <w:pPr>
        <w:spacing w:before="120"/>
        <w:jc w:val="both"/>
      </w:pPr>
      <w:r>
        <w:t>- TỈ LỆ X:1 cho tỉ lệ phóng to.</w:t>
      </w:r>
    </w:p>
    <w:p w14:paraId="5BA526DE" w14:textId="77777777" w:rsidR="00C05913" w:rsidRDefault="00C05913" w:rsidP="00C05913">
      <w:pPr>
        <w:spacing w:before="120"/>
        <w:jc w:val="both"/>
      </w:pPr>
      <w:r>
        <w:t>- TỈ LỆ 1:X cho tỉ lệ thu nhỏ.</w:t>
      </w:r>
    </w:p>
    <w:p w14:paraId="69D0F33B" w14:textId="77777777" w:rsidR="00C05913" w:rsidRDefault="00C05913" w:rsidP="00C05913">
      <w:pPr>
        <w:spacing w:before="120"/>
        <w:jc w:val="both"/>
      </w:pPr>
      <w:r>
        <w:t>Để không gây ra hiểu nhầm, từ “TỈ LỆ” có thể không ghi</w:t>
      </w:r>
    </w:p>
    <w:p w14:paraId="100FFD72" w14:textId="77777777" w:rsidR="00C05913" w:rsidRDefault="00C05913" w:rsidP="00C05913">
      <w:pPr>
        <w:spacing w:before="120"/>
        <w:jc w:val="both"/>
        <w:rPr>
          <w:b/>
        </w:rPr>
      </w:pPr>
      <w:r>
        <w:rPr>
          <w:b/>
        </w:rPr>
        <w:t>4. Cách ghi</w:t>
      </w:r>
    </w:p>
    <w:p w14:paraId="507ABE2D" w14:textId="77777777" w:rsidR="00C05913" w:rsidRDefault="00C05913" w:rsidP="00C05913">
      <w:pPr>
        <w:spacing w:before="120"/>
        <w:jc w:val="both"/>
      </w:pPr>
      <w:r>
        <w:rPr>
          <w:b/>
        </w:rPr>
        <w:t xml:space="preserve">4.1. </w:t>
      </w:r>
      <w:r>
        <w:t>Ký hiệu của tỉ lệ dùng trên bản vẽ phải được ghi trong khung tên của bản vẽ đó</w:t>
      </w:r>
    </w:p>
    <w:p w14:paraId="0FDEB44B" w14:textId="77777777" w:rsidR="00C05913" w:rsidRDefault="00C05913" w:rsidP="00C05913">
      <w:pPr>
        <w:spacing w:before="120"/>
        <w:jc w:val="both"/>
      </w:pPr>
      <w:r>
        <w:rPr>
          <w:b/>
        </w:rPr>
        <w:t xml:space="preserve">4.2. </w:t>
      </w:r>
      <w:r>
        <w:t>Khi cần dùng nhiều tỉ lệ khác nhau trong một bản vẽ thì chỉ có tỉ lệ chính được ghi trong khung tên, còn các tỉ lệ khác sẽ được ghi ngay bên cạnh con số chú dẫn phần tử trên bản vẽ của chi tiết tương ứng hoặc ngay bên cạnh chữ cái chỉ tên của hình chiếu (hoặc hình cắt) tương ứng.</w:t>
      </w:r>
    </w:p>
    <w:p w14:paraId="6DB762F5" w14:textId="77777777" w:rsidR="00C05913" w:rsidRDefault="00C05913" w:rsidP="00C05913">
      <w:pPr>
        <w:spacing w:before="120"/>
        <w:jc w:val="both"/>
        <w:rPr>
          <w:b/>
        </w:rPr>
      </w:pPr>
      <w:r>
        <w:rPr>
          <w:b/>
        </w:rPr>
        <w:t xml:space="preserve">5. Tỉ lệ </w:t>
      </w:r>
    </w:p>
    <w:p w14:paraId="2F5C364F" w14:textId="77777777" w:rsidR="00C05913" w:rsidRDefault="00C05913" w:rsidP="00C05913">
      <w:pPr>
        <w:spacing w:before="120"/>
        <w:jc w:val="both"/>
      </w:pPr>
      <w:r w:rsidRPr="005422EC">
        <w:rPr>
          <w:b/>
        </w:rPr>
        <w:t>5.1.</w:t>
      </w:r>
      <w:r>
        <w:rPr>
          <w:b/>
        </w:rPr>
        <w:t xml:space="preserve"> </w:t>
      </w:r>
      <w:r>
        <w:t>Các tỉ lệ ưu tiên sử dụng trên các bản vẽ kỹ thuật được quy định trong bảng sau:</w:t>
      </w:r>
    </w:p>
    <w:tbl>
      <w:tblPr>
        <w:tblStyle w:val="TableGrid"/>
        <w:tblW w:w="0" w:type="auto"/>
        <w:tblLook w:val="01E0" w:firstRow="1" w:lastRow="1" w:firstColumn="1" w:lastColumn="1" w:noHBand="0" w:noVBand="0"/>
      </w:tblPr>
      <w:tblGrid>
        <w:gridCol w:w="2214"/>
        <w:gridCol w:w="2214"/>
        <w:gridCol w:w="2214"/>
        <w:gridCol w:w="2214"/>
      </w:tblGrid>
      <w:tr w:rsidR="00C05913" w:rsidRPr="004971AC" w14:paraId="2D16C0FE" w14:textId="77777777" w:rsidTr="00AF7877">
        <w:tc>
          <w:tcPr>
            <w:tcW w:w="2214" w:type="dxa"/>
          </w:tcPr>
          <w:p w14:paraId="7F9C3E5A" w14:textId="77777777" w:rsidR="00C05913" w:rsidRPr="004971AC" w:rsidRDefault="00C05913" w:rsidP="00AF7877">
            <w:pPr>
              <w:spacing w:before="120"/>
              <w:jc w:val="center"/>
              <w:rPr>
                <w:b/>
              </w:rPr>
            </w:pPr>
            <w:r w:rsidRPr="004971AC">
              <w:rPr>
                <w:b/>
              </w:rPr>
              <w:t>Loại</w:t>
            </w:r>
          </w:p>
        </w:tc>
        <w:tc>
          <w:tcPr>
            <w:tcW w:w="6642" w:type="dxa"/>
            <w:gridSpan w:val="3"/>
          </w:tcPr>
          <w:p w14:paraId="2810F1BE" w14:textId="77777777" w:rsidR="00C05913" w:rsidRPr="004971AC" w:rsidRDefault="00C05913" w:rsidP="00AF7877">
            <w:pPr>
              <w:spacing w:before="120"/>
              <w:jc w:val="center"/>
              <w:rPr>
                <w:b/>
              </w:rPr>
            </w:pPr>
            <w:r w:rsidRPr="004971AC">
              <w:rPr>
                <w:b/>
              </w:rPr>
              <w:t>Tỉ lệ quy định</w:t>
            </w:r>
          </w:p>
        </w:tc>
      </w:tr>
      <w:tr w:rsidR="00C05913" w14:paraId="222B7138" w14:textId="77777777" w:rsidTr="00AF7877">
        <w:tc>
          <w:tcPr>
            <w:tcW w:w="2214" w:type="dxa"/>
          </w:tcPr>
          <w:p w14:paraId="5CF6A83D" w14:textId="77777777" w:rsidR="00C05913" w:rsidRDefault="00C05913" w:rsidP="00AF7877">
            <w:pPr>
              <w:spacing w:before="120"/>
              <w:jc w:val="center"/>
            </w:pPr>
            <w:r>
              <w:t xml:space="preserve">Tỉ lệ phóng to </w:t>
            </w:r>
          </w:p>
        </w:tc>
        <w:tc>
          <w:tcPr>
            <w:tcW w:w="2214" w:type="dxa"/>
            <w:tcBorders>
              <w:right w:val="nil"/>
            </w:tcBorders>
          </w:tcPr>
          <w:p w14:paraId="7DA10F70" w14:textId="77777777" w:rsidR="00C05913" w:rsidRDefault="00C05913" w:rsidP="00AF7877">
            <w:pPr>
              <w:spacing w:before="120"/>
              <w:jc w:val="center"/>
            </w:pPr>
            <w:r>
              <w:t>50:1</w:t>
            </w:r>
          </w:p>
          <w:p w14:paraId="26DA2F61" w14:textId="77777777" w:rsidR="00C05913" w:rsidRDefault="00C05913" w:rsidP="00AF7877">
            <w:pPr>
              <w:spacing w:before="120"/>
              <w:jc w:val="center"/>
            </w:pPr>
            <w:r>
              <w:t>5:1</w:t>
            </w:r>
          </w:p>
        </w:tc>
        <w:tc>
          <w:tcPr>
            <w:tcW w:w="2214" w:type="dxa"/>
            <w:tcBorders>
              <w:left w:val="nil"/>
              <w:right w:val="nil"/>
            </w:tcBorders>
          </w:tcPr>
          <w:p w14:paraId="1B58611A" w14:textId="77777777" w:rsidR="00C05913" w:rsidRDefault="00C05913" w:rsidP="00AF7877">
            <w:pPr>
              <w:spacing w:before="120"/>
              <w:jc w:val="center"/>
            </w:pPr>
            <w:r>
              <w:t>20:1</w:t>
            </w:r>
          </w:p>
          <w:p w14:paraId="2891D327" w14:textId="77777777" w:rsidR="00C05913" w:rsidRDefault="00C05913" w:rsidP="00AF7877">
            <w:pPr>
              <w:spacing w:before="120"/>
              <w:jc w:val="center"/>
            </w:pPr>
            <w:r>
              <w:t>2:1</w:t>
            </w:r>
          </w:p>
        </w:tc>
        <w:tc>
          <w:tcPr>
            <w:tcW w:w="2214" w:type="dxa"/>
            <w:tcBorders>
              <w:left w:val="nil"/>
            </w:tcBorders>
          </w:tcPr>
          <w:p w14:paraId="7D5E3530" w14:textId="77777777" w:rsidR="00C05913" w:rsidRDefault="00C05913" w:rsidP="00AF7877">
            <w:pPr>
              <w:spacing w:before="120"/>
              <w:jc w:val="center"/>
            </w:pPr>
            <w:r>
              <w:t>10:1</w:t>
            </w:r>
          </w:p>
        </w:tc>
      </w:tr>
      <w:tr w:rsidR="00C05913" w14:paraId="74336364" w14:textId="77777777" w:rsidTr="00AF7877">
        <w:tc>
          <w:tcPr>
            <w:tcW w:w="2214" w:type="dxa"/>
          </w:tcPr>
          <w:p w14:paraId="77A331B4" w14:textId="77777777" w:rsidR="00C05913" w:rsidRDefault="00C05913" w:rsidP="00AF7877">
            <w:pPr>
              <w:spacing w:before="120"/>
              <w:jc w:val="center"/>
            </w:pPr>
            <w:r>
              <w:t>Tỷ lệ nguyên hình</w:t>
            </w:r>
          </w:p>
        </w:tc>
        <w:tc>
          <w:tcPr>
            <w:tcW w:w="2214" w:type="dxa"/>
            <w:tcBorders>
              <w:right w:val="nil"/>
            </w:tcBorders>
          </w:tcPr>
          <w:p w14:paraId="4AB6C7B7" w14:textId="77777777" w:rsidR="00C05913" w:rsidRDefault="00C05913" w:rsidP="00AF7877">
            <w:pPr>
              <w:spacing w:before="120"/>
              <w:jc w:val="center"/>
            </w:pPr>
          </w:p>
        </w:tc>
        <w:tc>
          <w:tcPr>
            <w:tcW w:w="2214" w:type="dxa"/>
            <w:tcBorders>
              <w:left w:val="nil"/>
              <w:right w:val="nil"/>
            </w:tcBorders>
          </w:tcPr>
          <w:p w14:paraId="6118A519" w14:textId="77777777" w:rsidR="00C05913" w:rsidRDefault="00C05913" w:rsidP="00AF7877">
            <w:pPr>
              <w:spacing w:before="120"/>
              <w:jc w:val="center"/>
            </w:pPr>
          </w:p>
        </w:tc>
        <w:tc>
          <w:tcPr>
            <w:tcW w:w="2214" w:type="dxa"/>
            <w:tcBorders>
              <w:left w:val="nil"/>
            </w:tcBorders>
          </w:tcPr>
          <w:p w14:paraId="0982A653" w14:textId="77777777" w:rsidR="00C05913" w:rsidRDefault="00C05913" w:rsidP="00AF7877">
            <w:pPr>
              <w:spacing w:before="120"/>
              <w:jc w:val="center"/>
            </w:pPr>
            <w:r>
              <w:t>1:1</w:t>
            </w:r>
          </w:p>
        </w:tc>
      </w:tr>
      <w:tr w:rsidR="00C05913" w14:paraId="1C6D59AB" w14:textId="77777777" w:rsidTr="00AF7877">
        <w:tc>
          <w:tcPr>
            <w:tcW w:w="2214" w:type="dxa"/>
          </w:tcPr>
          <w:p w14:paraId="7278D7BB" w14:textId="77777777" w:rsidR="00C05913" w:rsidRDefault="00C05913" w:rsidP="00AF7877">
            <w:pPr>
              <w:spacing w:before="120"/>
              <w:jc w:val="center"/>
            </w:pPr>
            <w:r>
              <w:t>Tỉ lệ thu nhỏ</w:t>
            </w:r>
          </w:p>
        </w:tc>
        <w:tc>
          <w:tcPr>
            <w:tcW w:w="2214" w:type="dxa"/>
            <w:tcBorders>
              <w:right w:val="nil"/>
            </w:tcBorders>
          </w:tcPr>
          <w:p w14:paraId="20F90A0F" w14:textId="77777777" w:rsidR="00C05913" w:rsidRDefault="00C05913" w:rsidP="00AF7877">
            <w:pPr>
              <w:spacing w:before="120"/>
              <w:jc w:val="center"/>
            </w:pPr>
            <w:r>
              <w:t>1:2</w:t>
            </w:r>
          </w:p>
          <w:p w14:paraId="0D03B54C" w14:textId="77777777" w:rsidR="00C05913" w:rsidRDefault="00C05913" w:rsidP="00AF7877">
            <w:pPr>
              <w:spacing w:before="120"/>
              <w:jc w:val="center"/>
            </w:pPr>
            <w:r>
              <w:t>1:20</w:t>
            </w:r>
          </w:p>
          <w:p w14:paraId="624EE1E6" w14:textId="77777777" w:rsidR="00C05913" w:rsidRDefault="00C05913" w:rsidP="00AF7877">
            <w:pPr>
              <w:spacing w:before="120"/>
              <w:jc w:val="center"/>
            </w:pPr>
            <w:r>
              <w:t>1:200</w:t>
            </w:r>
          </w:p>
          <w:p w14:paraId="073D24BA" w14:textId="77777777" w:rsidR="00C05913" w:rsidRDefault="00C05913" w:rsidP="00AF7877">
            <w:pPr>
              <w:spacing w:before="120"/>
              <w:jc w:val="center"/>
            </w:pPr>
            <w:r>
              <w:t>1:2000</w:t>
            </w:r>
          </w:p>
        </w:tc>
        <w:tc>
          <w:tcPr>
            <w:tcW w:w="2214" w:type="dxa"/>
            <w:tcBorders>
              <w:left w:val="nil"/>
              <w:right w:val="nil"/>
            </w:tcBorders>
          </w:tcPr>
          <w:p w14:paraId="4FB6A3D3" w14:textId="77777777" w:rsidR="00C05913" w:rsidRDefault="00C05913" w:rsidP="00AF7877">
            <w:pPr>
              <w:spacing w:before="120"/>
              <w:jc w:val="center"/>
            </w:pPr>
            <w:r>
              <w:t>1:5</w:t>
            </w:r>
          </w:p>
          <w:p w14:paraId="2CB7AE98" w14:textId="77777777" w:rsidR="00C05913" w:rsidRDefault="00C05913" w:rsidP="00AF7877">
            <w:pPr>
              <w:spacing w:before="120"/>
              <w:jc w:val="center"/>
            </w:pPr>
            <w:r>
              <w:t>1:50</w:t>
            </w:r>
          </w:p>
          <w:p w14:paraId="1DB1C800" w14:textId="77777777" w:rsidR="00C05913" w:rsidRDefault="00C05913" w:rsidP="00AF7877">
            <w:pPr>
              <w:spacing w:before="120"/>
              <w:jc w:val="center"/>
            </w:pPr>
            <w:r>
              <w:t>1:500</w:t>
            </w:r>
          </w:p>
          <w:p w14:paraId="4852661E" w14:textId="77777777" w:rsidR="00C05913" w:rsidRDefault="00C05913" w:rsidP="00AF7877">
            <w:pPr>
              <w:spacing w:before="120"/>
              <w:jc w:val="center"/>
            </w:pPr>
            <w:r>
              <w:t>1:5000</w:t>
            </w:r>
          </w:p>
        </w:tc>
        <w:tc>
          <w:tcPr>
            <w:tcW w:w="2214" w:type="dxa"/>
            <w:tcBorders>
              <w:left w:val="nil"/>
            </w:tcBorders>
          </w:tcPr>
          <w:p w14:paraId="1C2456A1" w14:textId="77777777" w:rsidR="00C05913" w:rsidRDefault="00C05913" w:rsidP="00AF7877">
            <w:pPr>
              <w:spacing w:before="120"/>
              <w:jc w:val="center"/>
            </w:pPr>
            <w:r>
              <w:t>1:10</w:t>
            </w:r>
          </w:p>
          <w:p w14:paraId="391C2E23" w14:textId="77777777" w:rsidR="00C05913" w:rsidRDefault="00C05913" w:rsidP="00AF7877">
            <w:pPr>
              <w:spacing w:before="120"/>
              <w:jc w:val="center"/>
            </w:pPr>
            <w:r>
              <w:t>1:100</w:t>
            </w:r>
          </w:p>
          <w:p w14:paraId="0922D1C8" w14:textId="77777777" w:rsidR="00C05913" w:rsidRDefault="00C05913" w:rsidP="00AF7877">
            <w:pPr>
              <w:spacing w:before="120"/>
              <w:jc w:val="center"/>
            </w:pPr>
            <w:r>
              <w:t>1:1000</w:t>
            </w:r>
          </w:p>
          <w:p w14:paraId="17D689B3" w14:textId="77777777" w:rsidR="00C05913" w:rsidRDefault="00C05913" w:rsidP="00AF7877">
            <w:pPr>
              <w:spacing w:before="120"/>
              <w:jc w:val="center"/>
            </w:pPr>
            <w:r>
              <w:t>1:10000</w:t>
            </w:r>
          </w:p>
        </w:tc>
      </w:tr>
    </w:tbl>
    <w:p w14:paraId="1459F301" w14:textId="77777777" w:rsidR="00C05913" w:rsidRDefault="00C05913" w:rsidP="00C05913">
      <w:pPr>
        <w:spacing w:before="120"/>
        <w:jc w:val="both"/>
      </w:pPr>
      <w:r>
        <w:t>Chú thích – Do những áp dụng đặc biệt, nếu cần một tỉ lệ phóng to hơn, hoặc một tỷ lệ thu nhỏ so với các tỉ lệ có trong bảng thì có thể mở rộng dãy các tỉ lệ quy định về cả hai phía, với điều kiện là tỉ lệ cần dùng đó phải bằng một tỷ lệ quy định nhân với 10 mũ nguyên. Trong trường hợp</w:t>
      </w:r>
      <w:r>
        <w:t xml:space="preserve"> </w:t>
      </w:r>
      <w:r>
        <w:t>đặc biệt, vì những lý do chức năng, không thể áp dụng các tỉ lệ quy định thì có thể chọn các tỉ lệ trung gian.</w:t>
      </w:r>
    </w:p>
    <w:p w14:paraId="59CC2602" w14:textId="77777777" w:rsidR="00C05913" w:rsidRDefault="00C05913" w:rsidP="00C05913">
      <w:pPr>
        <w:spacing w:before="120"/>
        <w:jc w:val="both"/>
      </w:pPr>
      <w:r>
        <w:lastRenderedPageBreak/>
        <w:t>5.2. Tỉ lệ chọn một bản vẽ phụ thuộc vào mức độ phức tạp của đối tượng cần mô tả và mục đích của hình biểu diễn. Trong mọi trường hợp, tỉ lệ được chọn phải đủ lớn để cho phép truyền đạt một cách dễ dàng và sáng sủa c</w:t>
      </w:r>
      <w:r w:rsidRPr="006B4810">
        <w:t>á</w:t>
      </w:r>
      <w:r>
        <w:t>c thông tin mô tả. Tỷ lệ và kích thước của vật thể sẽ quyết định kích thước của bản vẽ.</w:t>
      </w:r>
    </w:p>
    <w:p w14:paraId="07DB0C5C" w14:textId="77777777" w:rsidR="00C05913" w:rsidRDefault="00C05913" w:rsidP="00C05913">
      <w:pPr>
        <w:spacing w:before="120"/>
        <w:jc w:val="both"/>
      </w:pPr>
      <w:r>
        <w:t>5.3. Những chi tiết quá nhỏ, không thể ghi được đầy đủ kích thước ở hình biểu diễn chính, thì phải vẽ ở bên cạnh hình biểu diễn chính theo kiểu hình chiếu riêng phần (hoặc hình cắt) theo một tỉ lệ lớn hơn.</w:t>
      </w:r>
    </w:p>
    <w:p w14:paraId="7975D752" w14:textId="77777777" w:rsidR="00C05913" w:rsidRDefault="00C05913" w:rsidP="00C05913">
      <w:pPr>
        <w:spacing w:before="120"/>
        <w:jc w:val="both"/>
        <w:rPr>
          <w:b/>
        </w:rPr>
      </w:pPr>
      <w:r>
        <w:rPr>
          <w:b/>
        </w:rPr>
        <w:t>6. Bản vẽ có tỷ lệ lớn</w:t>
      </w:r>
    </w:p>
    <w:p w14:paraId="38D263F1" w14:textId="77777777" w:rsidR="00C05913" w:rsidRDefault="00C05913" w:rsidP="00C05913">
      <w:pPr>
        <w:spacing w:before="120"/>
        <w:jc w:val="both"/>
      </w:pPr>
      <w:r w:rsidRPr="009D2032">
        <w:t xml:space="preserve">Khi </w:t>
      </w:r>
      <w:r>
        <w:t>vẽ một vật thể nhỏ theo tỷ lệ phóng to, vì mục đích thông tin, nên vẽ thêm một hình chiếu theo tỉ lệ nguyên hình. Trong trường hợp này, hình chiếu theo tỉ lệ nguyên hình cần vẽ đơn giản hóa bằng các đường bao ngoài của vật thể.</w:t>
      </w:r>
      <w:bookmarkStart w:id="0" w:name="_PictureBullets"/>
      <w:bookmarkEnd w:id="0"/>
    </w:p>
    <w:p w14:paraId="6F3FE7F0" w14:textId="7A50F7D4" w:rsidR="00645C88" w:rsidRDefault="00645C88"/>
    <w:sectPr w:rsidR="00645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D065F" w14:textId="77777777" w:rsidR="00DB1E91" w:rsidRDefault="00DB1E91" w:rsidP="00C05913">
      <w:r>
        <w:separator/>
      </w:r>
    </w:p>
  </w:endnote>
  <w:endnote w:type="continuationSeparator" w:id="0">
    <w:p w14:paraId="08D5916E" w14:textId="77777777" w:rsidR="00DB1E91" w:rsidRDefault="00DB1E91" w:rsidP="00C0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E7F25" w14:textId="77777777" w:rsidR="00DB1E91" w:rsidRDefault="00DB1E91" w:rsidP="00C05913">
      <w:r>
        <w:separator/>
      </w:r>
    </w:p>
  </w:footnote>
  <w:footnote w:type="continuationSeparator" w:id="0">
    <w:p w14:paraId="75269A2F" w14:textId="77777777" w:rsidR="00DB1E91" w:rsidRDefault="00DB1E91" w:rsidP="00C0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13"/>
    <w:rsid w:val="00645C88"/>
    <w:rsid w:val="007E41A9"/>
    <w:rsid w:val="00C05913"/>
    <w:rsid w:val="00C53398"/>
    <w:rsid w:val="00DB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B9D7"/>
  <w15:chartTrackingRefBased/>
  <w15:docId w15:val="{BB69CC66-1A3B-4249-95D2-743758C3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13"/>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9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Ánh . DG</dc:creator>
  <cp:keywords/>
  <dc:description/>
  <cp:lastModifiedBy>Ng Ánh . DG</cp:lastModifiedBy>
  <cp:revision>1</cp:revision>
  <dcterms:created xsi:type="dcterms:W3CDTF">2024-08-13T08:31:00Z</dcterms:created>
  <dcterms:modified xsi:type="dcterms:W3CDTF">2024-08-13T08:33:00Z</dcterms:modified>
</cp:coreProperties>
</file>