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4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13"/>
        <w:gridCol w:w="6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3213" w:type="dxa"/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ĐƠN VỊ CHỦ QUẢN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TÊN CƠ SỞ Y TẾ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Số: ......./.......</w:t>
            </w:r>
          </w:p>
        </w:tc>
        <w:tc>
          <w:tcPr>
            <w:tcW w:w="6200" w:type="dxa"/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CỘNG HÒA XÃ HỘI CHỦ NGHĨA VIỆT NAM</w:t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br w:type="textWrapping"/>
            </w: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Độc lập - Tự do - Hạnh phúc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12"/>
                <w:rFonts w:hint="default" w:ascii="Times New Roman" w:hAnsi="Times New Roman" w:cs="Times New Roman"/>
                <w:i w:val="0"/>
                <w:iCs w:val="0"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..., ngày .... tháng ... năm ...</w:t>
            </w:r>
          </w:p>
        </w:tc>
      </w:tr>
    </w:tbl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leftChars="0" w:right="0" w:firstLine="0" w:firstLineChars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leftChars="0" w:right="0" w:firstLine="0" w:firstLineChars="0"/>
        <w:jc w:val="center"/>
        <w:rPr>
          <w:rFonts w:hint="default" w:ascii="Times New Roman" w:hAnsi="Times New Roman" w:cs="Times New Roman"/>
          <w:color w:val="222222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BÁO CÁO KẾT QUẢ QUẢN LÝ CHẤT THẢI Y TẾ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leftChars="0" w:right="0" w:firstLine="0" w:firstLineChars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Kính gửi: Sở Y tế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...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leftChars="0" w:right="0" w:firstLine="0" w:firstLineChars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Phan 1. Thông tin chung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1.1. Tên cơ sở y tế (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>c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hủ nguồn thải):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Fax: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Mã số quản lý chất thải nguy hại: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 xml:space="preserve">Tên lãnh đạo đơn vị phụ trách: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 xml:space="preserve">; chức vụ: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Tên khoa/phòng/bộ phận đầu mối: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Tên người tổng hợp báo cáo: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Điện thoại: …; Email: 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1.2. Cơ sở phát sinh chất thải nguy hại (áp dụng đối với cơ sở y tế có từ 2 cơ sở trực thuộc trở lên và trình bày từng cơ sở)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Tên cơ sở (nếu có)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>: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 xml:space="preserve">Fax: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 Email: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 xml:space="preserve">1.3. Số giường bệnh kế hoạch (nếu có):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; Số giường bệnh thực kê: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 xml:space="preserve">1.4. Tổng số cán bộ, nhân viên của cơ sở y tế: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 xml:space="preserve"> Số học sinh, sinh viên thực tập: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1.5. Tổng số lượt người đến khám, chữa bệnh: …; Trong đó: ngoại trú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 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 xml:space="preserve">, nội trú: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…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 xml:space="preserve">1.6. Tổng lượng nước sử dụng trong kỳ báo cáo: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…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vertAlign w:val="superscript"/>
        </w:rPr>
        <w:t>3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.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Phần 2. Kết quả quản lý chất thải y tế tại cơ sở y tế trong kỳ báo cáo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2.1. Tình hình chung về quản lý chất thải y tế tại cơ sở y tế trong kỳ báo cáo: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2.1.1. Kết quả đào tạo, tập huấn, truyền thông, phổ biến pháp luật về quản lý chất thải y tế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 xml:space="preserve">: 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a) Hoạt động đào tạo, tập huấn</w:t>
      </w:r>
    </w:p>
    <w:tbl>
      <w:tblPr>
        <w:tblW w:w="94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4594"/>
        <w:gridCol w:w="2470"/>
        <w:gridCol w:w="15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TT</w:t>
            </w:r>
          </w:p>
        </w:tc>
        <w:tc>
          <w:tcPr>
            <w:tcW w:w="4589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Nhóm đối tượng được đào tạo, tập huấn</w:t>
            </w:r>
          </w:p>
        </w:tc>
        <w:tc>
          <w:tcPr>
            <w:tcW w:w="2467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Số người được đào tạo</w:t>
            </w:r>
          </w:p>
        </w:tc>
        <w:tc>
          <w:tcPr>
            <w:tcW w:w="1527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Lượt đào tạo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1</w:t>
            </w:r>
          </w:p>
        </w:tc>
        <w:tc>
          <w:tcPr>
            <w:tcW w:w="4589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Cán bộ lãnh đạo/quản lý</w:t>
            </w:r>
          </w:p>
        </w:tc>
        <w:tc>
          <w:tcPr>
            <w:tcW w:w="2467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2</w:t>
            </w:r>
          </w:p>
        </w:tc>
        <w:tc>
          <w:tcPr>
            <w:tcW w:w="4589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Cán bộ chuyên trách quản lý chất thải y tế</w:t>
            </w:r>
          </w:p>
        </w:tc>
        <w:tc>
          <w:tcPr>
            <w:tcW w:w="2467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3</w:t>
            </w:r>
          </w:p>
        </w:tc>
        <w:tc>
          <w:tcPr>
            <w:tcW w:w="4589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Nhân viên y tế</w:t>
            </w:r>
          </w:p>
        </w:tc>
        <w:tc>
          <w:tcPr>
            <w:tcW w:w="2467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4</w:t>
            </w:r>
          </w:p>
        </w:tc>
        <w:tc>
          <w:tcPr>
            <w:tcW w:w="4589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Nhân viên thu gom, lưu giữ chất thải y tế</w:t>
            </w:r>
          </w:p>
        </w:tc>
        <w:tc>
          <w:tcPr>
            <w:tcW w:w="2467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5</w:t>
            </w:r>
          </w:p>
        </w:tc>
        <w:tc>
          <w:tcPr>
            <w:tcW w:w="45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Nhân viên vận hành hệ thống xử lý chất thải y tế</w:t>
            </w:r>
          </w:p>
        </w:tc>
        <w:tc>
          <w:tcPr>
            <w:tcW w:w="24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Nhận xét, đánh giá: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b) Kết quả hoạt động truyền thông và phổ biến quy định về quản lý chất thải y tế</w:t>
      </w:r>
    </w:p>
    <w:tbl>
      <w:tblPr>
        <w:tblW w:w="94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3"/>
        <w:gridCol w:w="3387"/>
        <w:gridCol w:w="2553"/>
        <w:gridCol w:w="25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03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TT</w:t>
            </w:r>
          </w:p>
        </w:tc>
        <w:tc>
          <w:tcPr>
            <w:tcW w:w="3383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Nhóm đối tượng truyền thông, phổ biến pháp luật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Nội dung</w:t>
            </w:r>
          </w:p>
        </w:tc>
        <w:tc>
          <w:tcPr>
            <w:tcW w:w="2567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Hình thức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03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1</w:t>
            </w:r>
          </w:p>
        </w:tc>
        <w:tc>
          <w:tcPr>
            <w:tcW w:w="3383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567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2</w:t>
            </w:r>
          </w:p>
        </w:tc>
        <w:tc>
          <w:tcPr>
            <w:tcW w:w="33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5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E2E2E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Nhận xét, đánh giá: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2.1.2. Kết quả hoạt động thanh, kiểm tra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a) Hoạt động thanh tra, kiểm tra của cơ quan cấp trên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 xml:space="preserve">- Số lần được thanh tra, kiểm tra trong kỳ báo cáo: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  <w:lang w:val="en-US"/>
        </w:rPr>
        <w:t>…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 xml:space="preserve"> lần.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- Kết quả thanh tra, kiểm tra và xử lý vi phạm hành chính:</w:t>
      </w:r>
    </w:p>
    <w:tbl>
      <w:tblPr>
        <w:tblW w:w="94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6"/>
        <w:gridCol w:w="2039"/>
        <w:gridCol w:w="3653"/>
        <w:gridCol w:w="1485"/>
        <w:gridCol w:w="173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0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TT</w:t>
            </w:r>
          </w:p>
        </w:tc>
        <w:tc>
          <w:tcPr>
            <w:tcW w:w="203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Tên cơ quan thực hiện thanh tra, kiểm tra</w:t>
            </w:r>
          </w:p>
        </w:tc>
        <w:tc>
          <w:tcPr>
            <w:tcW w:w="365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Nội dung vi phạm</w:t>
            </w:r>
          </w:p>
        </w:tc>
        <w:tc>
          <w:tcPr>
            <w:tcW w:w="321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Kết quả khắc phục vi phạm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0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Đã khắc phục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Chưa khắc phục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</w:t>
            </w:r>
          </w:p>
        </w:tc>
        <w:tc>
          <w:tcPr>
            <w:tcW w:w="889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Thanh tra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...</w:t>
            </w:r>
          </w:p>
        </w:tc>
        <w:tc>
          <w:tcPr>
            <w:tcW w:w="3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II</w:t>
            </w:r>
          </w:p>
        </w:tc>
        <w:tc>
          <w:tcPr>
            <w:tcW w:w="889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Kiểm tra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....</w:t>
            </w:r>
          </w:p>
        </w:tc>
        <w:tc>
          <w:tcPr>
            <w:tcW w:w="3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III</w:t>
            </w:r>
          </w:p>
        </w:tc>
        <w:tc>
          <w:tcPr>
            <w:tcW w:w="889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Xử lý vi phạm hành chính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...</w:t>
            </w:r>
          </w:p>
        </w:tc>
        <w:tc>
          <w:tcPr>
            <w:tcW w:w="3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cs="Times New Roman"/>
          <w:i w:val="0"/>
          <w:iCs w:val="0"/>
          <w:caps w:val="0"/>
          <w:color w:val="2E2E2E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E2E2E"/>
          <w:spacing w:val="0"/>
          <w:kern w:val="0"/>
          <w:sz w:val="28"/>
          <w:szCs w:val="28"/>
          <w:lang w:val="en-US" w:eastAsia="zh-CN" w:bidi="ar"/>
        </w:rPr>
        <w:t>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b) Hoạt động kiểm tra, giám sát của đơn vị</w:t>
      </w:r>
    </w:p>
    <w:tbl>
      <w:tblPr>
        <w:tblW w:w="94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2039"/>
        <w:gridCol w:w="3661"/>
        <w:gridCol w:w="1488"/>
        <w:gridCol w:w="172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9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TT</w:t>
            </w:r>
          </w:p>
        </w:tc>
        <w:tc>
          <w:tcPr>
            <w:tcW w:w="203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Tên đơn vị, bộ phận thực hiện kiểm tra, giám sát</w:t>
            </w:r>
          </w:p>
        </w:tc>
        <w:tc>
          <w:tcPr>
            <w:tcW w:w="365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Nội dung vi phạm </w:t>
            </w:r>
            <w:r>
              <w:rPr>
                <w:rStyle w:val="12"/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(nếu có, ghi rõ)</w:t>
            </w:r>
          </w:p>
        </w:tc>
        <w:tc>
          <w:tcPr>
            <w:tcW w:w="321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Kết quả khắc phục vi phạm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9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Đã khắc phục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Chưa khắc phục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</w:t>
            </w:r>
          </w:p>
        </w:tc>
        <w:tc>
          <w:tcPr>
            <w:tcW w:w="890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Kiểm tra, giám sát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....</w:t>
            </w:r>
          </w:p>
        </w:tc>
        <w:tc>
          <w:tcPr>
            <w:tcW w:w="3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III</w:t>
            </w:r>
          </w:p>
        </w:tc>
        <w:tc>
          <w:tcPr>
            <w:tcW w:w="890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Xử lý vi phạm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9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....</w:t>
            </w:r>
          </w:p>
        </w:tc>
        <w:tc>
          <w:tcPr>
            <w:tcW w:w="36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7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E2E2E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Nhận xét, đánh giá: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2.1.3. Kết quả quan trắc môi trường</w:t>
      </w:r>
    </w:p>
    <w:tbl>
      <w:tblPr>
        <w:tblW w:w="94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3757"/>
        <w:gridCol w:w="1793"/>
        <w:gridCol w:w="1374"/>
        <w:gridCol w:w="18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TT</w:t>
            </w:r>
          </w:p>
        </w:tc>
        <w:tc>
          <w:tcPr>
            <w:tcW w:w="3753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Nội dung quan trắc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Số lần quan trắc thực tế/quy định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Chỉ tiêu không đạt</w:t>
            </w:r>
          </w:p>
        </w:tc>
        <w:tc>
          <w:tcPr>
            <w:tcW w:w="1849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Bản scan các Kết quả quan trắc kèm theo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3753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849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63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37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7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3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8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E2E2E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Nhận xét, đánh giá: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2.2. Thống kê chất thải y tế phát sinh và được xử lý tại cơ sở y tế trong kỳ báo cáo: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(Trường hợp có các cơ sở trực thuộc, thì ngoài thống kê chất thải y tế của cơ sở, cần thống kê lần lượt đối với từng cơ sở y tế trực thuộc theo bảng dưới đây)</w:t>
      </w:r>
    </w:p>
    <w:tbl>
      <w:tblPr>
        <w:tblW w:w="94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0"/>
        <w:gridCol w:w="1750"/>
        <w:gridCol w:w="993"/>
        <w:gridCol w:w="860"/>
        <w:gridCol w:w="750"/>
        <w:gridCol w:w="964"/>
        <w:gridCol w:w="757"/>
        <w:gridCol w:w="999"/>
        <w:gridCol w:w="757"/>
        <w:gridCol w:w="112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TT</w:t>
            </w:r>
          </w:p>
        </w:tc>
        <w:tc>
          <w:tcPr>
            <w:tcW w:w="190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Loại chất thải y tế</w:t>
            </w:r>
          </w:p>
        </w:tc>
        <w:tc>
          <w:tcPr>
            <w:tcW w:w="74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Mã chất thải nguy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hại</w:t>
            </w:r>
          </w:p>
        </w:tc>
        <w:tc>
          <w:tcPr>
            <w:tcW w:w="7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Đơn vị tính</w:t>
            </w:r>
          </w:p>
        </w:tc>
        <w:tc>
          <w:tcPr>
            <w:tcW w:w="76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Số lượng chất thải phát sinh</w:t>
            </w:r>
          </w:p>
        </w:tc>
        <w:tc>
          <w:tcPr>
            <w:tcW w:w="1012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Số lượng chất thải được xử lý đạt quy chuẩn kỹ thuật</w:t>
            </w:r>
          </w:p>
        </w:tc>
        <w:tc>
          <w:tcPr>
            <w:tcW w:w="3731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Xử lý chất thải y tế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Chuyển giao cho đơn vị khác xử lý</w:t>
            </w:r>
          </w:p>
        </w:tc>
        <w:tc>
          <w:tcPr>
            <w:tcW w:w="193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Tự xử lý tại cơ sở y tế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2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Số lượng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Tên đơn vị chuyển giao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Số lượng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Hình thức/ Phương pháp xử lý)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Tổng lượng chất thải y tế nguy hại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1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Tổng lượng chất thải lây nhiễm: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1.1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Chất thải lây nhiễm sắc nhọn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1.2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Chất thải lây nhiễm không sắc nhọn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1.3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Chất thải có nguy cơ lây nhiễm cao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1.4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Chất thải giải phẫu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2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Tổng lượng chất thải nguy hại không lây nhiễm, gồm: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2.1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Hóa chất thải bỏ bao gồm hoặc có các thành phần nguy hại vượt ngưỡng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2.2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Dược phẩm thải bỏ thuộc nhóm gây độc tế bào hoặc có cảnh báo nguy hại từ nhà sản xuất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2.3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Vỏ chai, lọ đựng thuốc hoặc hoá chất, các dụng cụ dính thuốc hoặc hoá chất thuộc nhóm gây độc tế bào hoặc có cảnh báo nguy hại từ nhà sản xuất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2.4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Thiết bị y tế bị vỡ, hỏng, đã qua sử dụng thải bỏ có chứa thuỷ ngân, cadimi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2.5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Chất thải nguy hại không lây nhiễm dạng lỏng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2.6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Tổng lượng chất thải nguy hại khác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II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Tổng lượng chất thải rắn thông thường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kg/năm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III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Tổng lưu lượng nước thải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m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  <w:vertAlign w:val="superscript"/>
              </w:rPr>
              <w:t>3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/năm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4.1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Nước thải y tế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m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  <w:vertAlign w:val="superscript"/>
              </w:rPr>
              <w:t>3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/năm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4.2</w:t>
            </w:r>
          </w:p>
        </w:tc>
        <w:tc>
          <w:tcPr>
            <w:tcW w:w="1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Nước thải sinh hoạt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m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  <w:vertAlign w:val="superscript"/>
              </w:rPr>
              <w:t>3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/năm</w:t>
            </w:r>
          </w:p>
        </w:tc>
        <w:tc>
          <w:tcPr>
            <w:tcW w:w="7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E2E2E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2.3. Thống kê xử lý chất thải y tế theo mô hình cụm cơ sở y tế trong kỳ báo cáo (chỉ thực hiện đối với cơ sở y tế thực hiện xử lý chất thải y tế cho cụm cơ sở y tế):</w:t>
      </w:r>
    </w:p>
    <w:tbl>
      <w:tblPr>
        <w:tblW w:w="94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3557"/>
        <w:gridCol w:w="2384"/>
        <w:gridCol w:w="29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TT</w:t>
            </w:r>
          </w:p>
        </w:tc>
        <w:tc>
          <w:tcPr>
            <w:tcW w:w="3553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Loại chất thải y tế</w:t>
            </w:r>
          </w:p>
        </w:tc>
        <w:tc>
          <w:tcPr>
            <w:tcW w:w="238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Lượng chất thải y tế nhận từ các cơ sở y tế trong cụm (kg/năm)</w:t>
            </w:r>
          </w:p>
        </w:tc>
        <w:tc>
          <w:tcPr>
            <w:tcW w:w="2995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Phạm vi xử lý (ghi tên các cơ sở y tế trong cụm)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4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....</w:t>
            </w:r>
          </w:p>
        </w:tc>
        <w:tc>
          <w:tcPr>
            <w:tcW w:w="35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3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9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E2E2E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2.4. Thống kê lượng chất thải nhựa trong năm</w:t>
      </w:r>
    </w:p>
    <w:tbl>
      <w:tblPr>
        <w:tblW w:w="94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1"/>
        <w:gridCol w:w="3082"/>
        <w:gridCol w:w="1536"/>
        <w:gridCol w:w="2067"/>
        <w:gridCol w:w="22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TT</w:t>
            </w:r>
          </w:p>
        </w:tc>
        <w:tc>
          <w:tcPr>
            <w:tcW w:w="3079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Loại chất thải nhựa</w:t>
            </w:r>
          </w:p>
        </w:tc>
        <w:tc>
          <w:tcPr>
            <w:tcW w:w="153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Số lượng phát sinh (kg/năm)</w:t>
            </w:r>
          </w:p>
        </w:tc>
        <w:tc>
          <w:tcPr>
            <w:tcW w:w="206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Số lượng chuyển giao để tái chế (kg/năm)</w:t>
            </w:r>
          </w:p>
        </w:tc>
        <w:tc>
          <w:tcPr>
            <w:tcW w:w="220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Tên đơn vị nhận chuyển giao để tái chế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1</w:t>
            </w:r>
          </w:p>
        </w:tc>
        <w:tc>
          <w:tcPr>
            <w:tcW w:w="3079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Chất thải lây nhiễm</w:t>
            </w:r>
          </w:p>
        </w:tc>
        <w:tc>
          <w:tcPr>
            <w:tcW w:w="153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6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20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2</w:t>
            </w:r>
          </w:p>
        </w:tc>
        <w:tc>
          <w:tcPr>
            <w:tcW w:w="3079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Chất thải nguy hại không lây nhiễm</w:t>
            </w:r>
          </w:p>
        </w:tc>
        <w:tc>
          <w:tcPr>
            <w:tcW w:w="153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6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20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3</w:t>
            </w:r>
          </w:p>
        </w:tc>
        <w:tc>
          <w:tcPr>
            <w:tcW w:w="3079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Chất thải rắn thông thường:</w:t>
            </w:r>
          </w:p>
        </w:tc>
        <w:tc>
          <w:tcPr>
            <w:tcW w:w="153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6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20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9" w:hRule="atLeast"/>
          <w:jc w:val="center"/>
        </w:trPr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-</w:t>
            </w:r>
          </w:p>
        </w:tc>
        <w:tc>
          <w:tcPr>
            <w:tcW w:w="3079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Chất thải rắn thông thường từ sinh hoạt thường ngày</w:t>
            </w:r>
          </w:p>
        </w:tc>
        <w:tc>
          <w:tcPr>
            <w:tcW w:w="153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6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20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-</w:t>
            </w:r>
          </w:p>
        </w:tc>
        <w:tc>
          <w:tcPr>
            <w:tcW w:w="3079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Chất thải rắn thông thường từ hoạt động chuyên môn y tế</w:t>
            </w:r>
          </w:p>
        </w:tc>
        <w:tc>
          <w:tcPr>
            <w:tcW w:w="153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65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204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30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Tổng cộng(1+2+3)</w:t>
            </w:r>
          </w:p>
        </w:tc>
        <w:tc>
          <w:tcPr>
            <w:tcW w:w="15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2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</w:tbl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2.5. Thống kê nhân lực thực hiện quản lý chất thải y tế</w:t>
      </w:r>
    </w:p>
    <w:tbl>
      <w:tblPr>
        <w:tblW w:w="998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6"/>
        <w:gridCol w:w="916"/>
        <w:gridCol w:w="1116"/>
        <w:gridCol w:w="1194"/>
        <w:gridCol w:w="1441"/>
        <w:gridCol w:w="1147"/>
        <w:gridCol w:w="1194"/>
        <w:gridCol w:w="992"/>
        <w:gridCol w:w="1064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TT</w:t>
            </w:r>
          </w:p>
        </w:tc>
        <w:tc>
          <w:tcPr>
            <w:tcW w:w="91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Họ tên</w:t>
            </w:r>
          </w:p>
        </w:tc>
        <w:tc>
          <w:tcPr>
            <w:tcW w:w="111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Năm sinh</w:t>
            </w:r>
          </w:p>
        </w:tc>
        <w:tc>
          <w:tcPr>
            <w:tcW w:w="119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Trình độ chuyên môn</w:t>
            </w:r>
          </w:p>
        </w:tc>
        <w:tc>
          <w:tcPr>
            <w:tcW w:w="144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Chuyên ngành về môi trường được đào tạo</w:t>
            </w: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Tham gia làm về quản lý chất thải</w:t>
            </w:r>
          </w:p>
        </w:tc>
        <w:tc>
          <w:tcPr>
            <w:tcW w:w="205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Chứng chỉ đào tạo về quản lý chất thải/vận hành hệ thống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Toàn thời gian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Kiêm nhiệm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Đối tượng được đào tạo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Đơn vị cấp chứng chỉ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</w:t>
            </w:r>
          </w:p>
        </w:tc>
        <w:tc>
          <w:tcPr>
            <w:tcW w:w="9064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Cán bộ chuyên trách quản lý chất thải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...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II</w:t>
            </w:r>
          </w:p>
        </w:tc>
        <w:tc>
          <w:tcPr>
            <w:tcW w:w="9064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Nhân viên vận hành hệ thống xử lý chất thải (nước thải, chất thải rắn, khí thải)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9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....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4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205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E2E2E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2.6. Thống kê công trình/thiết bị xử lý chất thải y tế</w:t>
      </w:r>
    </w:p>
    <w:tbl>
      <w:tblPr>
        <w:tblW w:w="941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9"/>
        <w:gridCol w:w="875"/>
        <w:gridCol w:w="855"/>
        <w:gridCol w:w="894"/>
        <w:gridCol w:w="1015"/>
        <w:gridCol w:w="1400"/>
        <w:gridCol w:w="1664"/>
        <w:gridCol w:w="1148"/>
        <w:gridCol w:w="1033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TT</w:t>
            </w:r>
          </w:p>
        </w:tc>
        <w:tc>
          <w:tcPr>
            <w:tcW w:w="87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Tên công trình, thiết bị</w:t>
            </w:r>
          </w:p>
        </w:tc>
        <w:tc>
          <w:tcPr>
            <w:tcW w:w="85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Công nghệ xử lý</w:t>
            </w:r>
          </w:p>
        </w:tc>
        <w:tc>
          <w:tcPr>
            <w:tcW w:w="893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Năm đưa vào vận hành</w:t>
            </w:r>
          </w:p>
        </w:tc>
        <w:tc>
          <w:tcPr>
            <w:tcW w:w="40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Tình trạng hoạt động hiện nay</w:t>
            </w:r>
          </w:p>
        </w:tc>
        <w:tc>
          <w:tcPr>
            <w:tcW w:w="1147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Công suất xử lý theo thiết kế</w:t>
            </w:r>
          </w:p>
        </w:tc>
        <w:tc>
          <w:tcPr>
            <w:tcW w:w="103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Công suất xử lý thực tế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Hoạt động tốt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Hoạt động không ổn định, quá tải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Hỏng hoặc không hoạt động</w:t>
            </w:r>
          </w:p>
        </w:tc>
        <w:tc>
          <w:tcPr>
            <w:tcW w:w="1147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spacing w:line="360" w:lineRule="auto"/>
              <w:ind w:left="0" w:leftChars="0" w:firstLine="0" w:firstLineChars="0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</w:t>
            </w:r>
          </w:p>
        </w:tc>
        <w:tc>
          <w:tcPr>
            <w:tcW w:w="8875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Thiết bị xử lý chất thải rắn y tế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....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II.</w:t>
            </w:r>
          </w:p>
        </w:tc>
        <w:tc>
          <w:tcPr>
            <w:tcW w:w="8875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Công trình, hệ thống xử lý nước thải y tế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5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...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vAlign w:val="center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ind w:left="0" w:leftChars="0" w:firstLine="0" w:firstLineChars="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E2E2E"/>
          <w:spacing w:val="0"/>
          <w:kern w:val="0"/>
          <w:sz w:val="28"/>
          <w:szCs w:val="28"/>
          <w:lang w:val="en-US" w:eastAsia="zh-CN" w:bidi="ar"/>
        </w:rPr>
        <w:t> 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</w:rPr>
        <w:t> </w:t>
      </w: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Phần 3. Kế hoạch quản lý chất thải y tế trong năm tiếp theo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Phần 4. Các vấn đề khác</w:t>
      </w:r>
    </w:p>
    <w:p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0" w:afterAutospacing="0" w:line="360" w:lineRule="auto"/>
        <w:ind w:left="0" w:leftChars="0" w:right="0" w:firstLine="0" w:firstLineChars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Style w:val="20"/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bdr w:val="none" w:color="auto" w:sz="0" w:space="0"/>
          <w:shd w:val="clear" w:fill="FFFFFF"/>
        </w:rPr>
        <w:t>Phần 5. Kết luận, kiến nghị</w:t>
      </w:r>
    </w:p>
    <w:tbl>
      <w:tblPr>
        <w:tblW w:w="94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06"/>
        <w:gridCol w:w="47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3612" w:type="dxa"/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leftChars="0" w:right="0" w:firstLine="0" w:firstLineChars="0"/>
              <w:jc w:val="both"/>
              <w:rPr>
                <w:rStyle w:val="20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bdr w:val="none" w:color="auto" w:sz="0" w:space="0"/>
                <w:shd w:val="clear" w:fill="FFFFFF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bdr w:val="none" w:color="auto" w:sz="0" w:space="0"/>
                <w:shd w:val="clear" w:fill="FFFFFF"/>
              </w:rPr>
              <w:t>Nơi nhận: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leftChars="0" w:right="0" w:firstLine="0" w:firstLineChars="0"/>
              <w:jc w:val="both"/>
              <w:rPr>
                <w:rStyle w:val="20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bdr w:val="none" w:color="auto" w:sz="0" w:space="0"/>
                <w:shd w:val="clear" w:fill="FFFFFF"/>
                <w:lang w:val="en-US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auto"/>
                <w:sz w:val="28"/>
                <w:szCs w:val="28"/>
                <w:bdr w:val="none" w:color="auto" w:sz="0" w:space="0"/>
                <w:shd w:val="clear" w:fill="FFFFFF"/>
                <w:lang w:val="en-US"/>
              </w:rPr>
              <w:t>Lưu: VT.</w:t>
            </w:r>
          </w:p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leftChars="0" w:right="0" w:firstLine="0" w:firstLineChars="0"/>
              <w:jc w:val="both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t> </w:t>
            </w:r>
          </w:p>
        </w:tc>
        <w:tc>
          <w:tcPr>
            <w:tcW w:w="3612" w:type="dxa"/>
            <w:shd w:val="clear"/>
            <w:tcMar>
              <w:left w:w="108" w:type="dxa"/>
              <w:right w:w="108" w:type="dxa"/>
            </w:tcMar>
            <w:vAlign w:val="top"/>
          </w:tcPr>
          <w:p>
            <w:pPr>
              <w:pStyle w:val="18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Style w:val="20"/>
                <w:rFonts w:hint="default" w:ascii="Times New Roman" w:hAnsi="Times New Roman" w:cs="Times New Roman"/>
                <w:b/>
                <w:bCs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THỦ TRƯỞNG CƠ SỞ</w:t>
            </w:r>
            <w:r>
              <w:rPr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</w:rPr>
              <w:br w:type="textWrapping"/>
            </w:r>
            <w:r>
              <w:rPr>
                <w:rStyle w:val="12"/>
                <w:rFonts w:hint="default" w:ascii="Times New Roman" w:hAnsi="Times New Roman" w:cs="Times New Roman"/>
                <w:color w:val="222222"/>
                <w:sz w:val="28"/>
                <w:szCs w:val="28"/>
                <w:bdr w:val="none" w:color="auto" w:sz="0" w:space="0"/>
                <w:shd w:val="clear" w:fill="FFFFFF"/>
              </w:rPr>
              <w:t>(Ký, ghi họ tên, đóng dấu)</w:t>
            </w:r>
          </w:p>
        </w:tc>
      </w:tr>
    </w:tbl>
    <w:p>
      <w:pPr>
        <w:spacing w:line="360" w:lineRule="auto"/>
        <w:ind w:left="0" w:leftChars="0" w:firstLine="0" w:firstLineChars="0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bookmarkEnd w:id="0"/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17936BE"/>
    <w:rsid w:val="018D72EB"/>
    <w:rsid w:val="023128A5"/>
    <w:rsid w:val="02E226C9"/>
    <w:rsid w:val="030A2589"/>
    <w:rsid w:val="043938AF"/>
    <w:rsid w:val="044B1A22"/>
    <w:rsid w:val="05AF696F"/>
    <w:rsid w:val="060E737E"/>
    <w:rsid w:val="069140D4"/>
    <w:rsid w:val="07EC0061"/>
    <w:rsid w:val="083E3E79"/>
    <w:rsid w:val="08E35BA2"/>
    <w:rsid w:val="09033ED8"/>
    <w:rsid w:val="09094905"/>
    <w:rsid w:val="09570789"/>
    <w:rsid w:val="0C517728"/>
    <w:rsid w:val="0D0535D0"/>
    <w:rsid w:val="0D653A50"/>
    <w:rsid w:val="0D752773"/>
    <w:rsid w:val="0DD94221"/>
    <w:rsid w:val="0E8D3EEF"/>
    <w:rsid w:val="0F6C32A7"/>
    <w:rsid w:val="0F7560C5"/>
    <w:rsid w:val="0FFE504A"/>
    <w:rsid w:val="1023528A"/>
    <w:rsid w:val="1097377E"/>
    <w:rsid w:val="10B2012E"/>
    <w:rsid w:val="12306264"/>
    <w:rsid w:val="12A846C5"/>
    <w:rsid w:val="133A1F99"/>
    <w:rsid w:val="1461161C"/>
    <w:rsid w:val="14B10881"/>
    <w:rsid w:val="14B8240A"/>
    <w:rsid w:val="16AD6A71"/>
    <w:rsid w:val="170532D4"/>
    <w:rsid w:val="18021EF2"/>
    <w:rsid w:val="18907906"/>
    <w:rsid w:val="1909450E"/>
    <w:rsid w:val="19484788"/>
    <w:rsid w:val="19AE3232"/>
    <w:rsid w:val="1A8E701D"/>
    <w:rsid w:val="1D095B62"/>
    <w:rsid w:val="1EB573ED"/>
    <w:rsid w:val="1F0065EA"/>
    <w:rsid w:val="1F204D28"/>
    <w:rsid w:val="1F78753A"/>
    <w:rsid w:val="1FAE5406"/>
    <w:rsid w:val="200E0A5D"/>
    <w:rsid w:val="21386BFD"/>
    <w:rsid w:val="21436B21"/>
    <w:rsid w:val="21EF7EEE"/>
    <w:rsid w:val="2210447E"/>
    <w:rsid w:val="2255003C"/>
    <w:rsid w:val="231F5A1C"/>
    <w:rsid w:val="242732B5"/>
    <w:rsid w:val="242762F0"/>
    <w:rsid w:val="2489657E"/>
    <w:rsid w:val="24A274A8"/>
    <w:rsid w:val="24D569FD"/>
    <w:rsid w:val="24E742E7"/>
    <w:rsid w:val="24E76E19"/>
    <w:rsid w:val="259A0BF0"/>
    <w:rsid w:val="267D2073"/>
    <w:rsid w:val="26FB7A76"/>
    <w:rsid w:val="27AE16A9"/>
    <w:rsid w:val="281B4A2F"/>
    <w:rsid w:val="285B7244"/>
    <w:rsid w:val="28753671"/>
    <w:rsid w:val="29D457AB"/>
    <w:rsid w:val="2A48576A"/>
    <w:rsid w:val="2B51088B"/>
    <w:rsid w:val="2C6960A8"/>
    <w:rsid w:val="2C886183"/>
    <w:rsid w:val="2D1346BA"/>
    <w:rsid w:val="2D5F0659"/>
    <w:rsid w:val="2DAD40FD"/>
    <w:rsid w:val="2FC67770"/>
    <w:rsid w:val="30692033"/>
    <w:rsid w:val="30717C09"/>
    <w:rsid w:val="313827ED"/>
    <w:rsid w:val="31DF050B"/>
    <w:rsid w:val="32424AF0"/>
    <w:rsid w:val="32431FD3"/>
    <w:rsid w:val="325E4CB1"/>
    <w:rsid w:val="33EC20BE"/>
    <w:rsid w:val="34083F6D"/>
    <w:rsid w:val="3463198D"/>
    <w:rsid w:val="34703FD0"/>
    <w:rsid w:val="34C73B4C"/>
    <w:rsid w:val="35051F7A"/>
    <w:rsid w:val="357B604D"/>
    <w:rsid w:val="35895299"/>
    <w:rsid w:val="35F7121A"/>
    <w:rsid w:val="360D0AC4"/>
    <w:rsid w:val="36981C70"/>
    <w:rsid w:val="36D60888"/>
    <w:rsid w:val="36D83D8B"/>
    <w:rsid w:val="36E01197"/>
    <w:rsid w:val="37460B3B"/>
    <w:rsid w:val="380C273E"/>
    <w:rsid w:val="38C522B1"/>
    <w:rsid w:val="38F52E00"/>
    <w:rsid w:val="393C5773"/>
    <w:rsid w:val="395C5CA8"/>
    <w:rsid w:val="39CA37A1"/>
    <w:rsid w:val="3A5C38AE"/>
    <w:rsid w:val="3A6B5E65"/>
    <w:rsid w:val="3B235613"/>
    <w:rsid w:val="3CA1688E"/>
    <w:rsid w:val="3CBD3F0C"/>
    <w:rsid w:val="3D4F2725"/>
    <w:rsid w:val="3DA20EAA"/>
    <w:rsid w:val="3DB72FC9"/>
    <w:rsid w:val="3E61479E"/>
    <w:rsid w:val="3F071B71"/>
    <w:rsid w:val="3F16680E"/>
    <w:rsid w:val="3F2F7B88"/>
    <w:rsid w:val="3F4113D6"/>
    <w:rsid w:val="3F530871"/>
    <w:rsid w:val="41425B1E"/>
    <w:rsid w:val="41DD636D"/>
    <w:rsid w:val="42210A91"/>
    <w:rsid w:val="42B11578"/>
    <w:rsid w:val="42ED5B59"/>
    <w:rsid w:val="43322DCB"/>
    <w:rsid w:val="43916667"/>
    <w:rsid w:val="46772BDB"/>
    <w:rsid w:val="46C206AE"/>
    <w:rsid w:val="4785796B"/>
    <w:rsid w:val="486A271D"/>
    <w:rsid w:val="49287F12"/>
    <w:rsid w:val="495B1666"/>
    <w:rsid w:val="49CD0AD8"/>
    <w:rsid w:val="4A826ECA"/>
    <w:rsid w:val="4A904E9E"/>
    <w:rsid w:val="4A9A15E2"/>
    <w:rsid w:val="4A9F427C"/>
    <w:rsid w:val="4AD430A4"/>
    <w:rsid w:val="4B1F5E4F"/>
    <w:rsid w:val="4BF53947"/>
    <w:rsid w:val="4CC12FFC"/>
    <w:rsid w:val="4E9A7DA5"/>
    <w:rsid w:val="4ECC4356"/>
    <w:rsid w:val="4F722566"/>
    <w:rsid w:val="4FB74A30"/>
    <w:rsid w:val="502320DB"/>
    <w:rsid w:val="503E099D"/>
    <w:rsid w:val="513C1005"/>
    <w:rsid w:val="51C51AB5"/>
    <w:rsid w:val="51E90A08"/>
    <w:rsid w:val="52CF57EB"/>
    <w:rsid w:val="550A1892"/>
    <w:rsid w:val="5514410B"/>
    <w:rsid w:val="552C424F"/>
    <w:rsid w:val="55BD4D0D"/>
    <w:rsid w:val="579C181C"/>
    <w:rsid w:val="57FB0573"/>
    <w:rsid w:val="57FE2C25"/>
    <w:rsid w:val="5825013C"/>
    <w:rsid w:val="587C3438"/>
    <w:rsid w:val="58AB03C5"/>
    <w:rsid w:val="58B65FA2"/>
    <w:rsid w:val="59A04DC3"/>
    <w:rsid w:val="5A32450F"/>
    <w:rsid w:val="5AD52312"/>
    <w:rsid w:val="5BC23D94"/>
    <w:rsid w:val="5C182A2D"/>
    <w:rsid w:val="5C6D02C7"/>
    <w:rsid w:val="5E222D7F"/>
    <w:rsid w:val="600C7235"/>
    <w:rsid w:val="628C0609"/>
    <w:rsid w:val="63163D6C"/>
    <w:rsid w:val="63F12C65"/>
    <w:rsid w:val="64370060"/>
    <w:rsid w:val="64646CC1"/>
    <w:rsid w:val="64DC563C"/>
    <w:rsid w:val="65135B60"/>
    <w:rsid w:val="65E40437"/>
    <w:rsid w:val="66BD6A5C"/>
    <w:rsid w:val="66BF7F33"/>
    <w:rsid w:val="67AC5848"/>
    <w:rsid w:val="67B361DA"/>
    <w:rsid w:val="68F100BA"/>
    <w:rsid w:val="6A1679FB"/>
    <w:rsid w:val="6A19423A"/>
    <w:rsid w:val="6AE17565"/>
    <w:rsid w:val="6C1824E6"/>
    <w:rsid w:val="6C2650EB"/>
    <w:rsid w:val="6C267BFC"/>
    <w:rsid w:val="6C6B2A4B"/>
    <w:rsid w:val="6CAC7E00"/>
    <w:rsid w:val="6CB40765"/>
    <w:rsid w:val="6CFA128D"/>
    <w:rsid w:val="6D4F696A"/>
    <w:rsid w:val="6D7256A0"/>
    <w:rsid w:val="6DAC72B5"/>
    <w:rsid w:val="6E0B0D16"/>
    <w:rsid w:val="6F1D56DB"/>
    <w:rsid w:val="6F26267D"/>
    <w:rsid w:val="6F736A40"/>
    <w:rsid w:val="70F574E0"/>
    <w:rsid w:val="711D5D51"/>
    <w:rsid w:val="71924DDF"/>
    <w:rsid w:val="724D63AB"/>
    <w:rsid w:val="736265AA"/>
    <w:rsid w:val="738F1CDD"/>
    <w:rsid w:val="73AB30E2"/>
    <w:rsid w:val="74143D5C"/>
    <w:rsid w:val="74416C47"/>
    <w:rsid w:val="745D652C"/>
    <w:rsid w:val="75140F69"/>
    <w:rsid w:val="756C53EB"/>
    <w:rsid w:val="75DA0756"/>
    <w:rsid w:val="7637387F"/>
    <w:rsid w:val="763A00EB"/>
    <w:rsid w:val="764B0FDA"/>
    <w:rsid w:val="76E53183"/>
    <w:rsid w:val="77396EE8"/>
    <w:rsid w:val="785E6707"/>
    <w:rsid w:val="787729C7"/>
    <w:rsid w:val="787F4226"/>
    <w:rsid w:val="78E61B9E"/>
    <w:rsid w:val="7A051E28"/>
    <w:rsid w:val="7A500722"/>
    <w:rsid w:val="7C7B0321"/>
    <w:rsid w:val="7CC059B7"/>
    <w:rsid w:val="7D273B09"/>
    <w:rsid w:val="7E890826"/>
    <w:rsid w:val="7E8D2AAF"/>
    <w:rsid w:val="7E8E1028"/>
    <w:rsid w:val="7F9D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autoRedefine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autoRedefine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autoRedefine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autoRedefine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autoRedefine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autoRedefine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autoRedefine/>
    <w:qFormat/>
    <w:uiPriority w:val="0"/>
    <w:rPr>
      <w:i/>
      <w:iCs/>
    </w:rPr>
  </w:style>
  <w:style w:type="paragraph" w:styleId="13">
    <w:name w:val="footer"/>
    <w:basedOn w:val="1"/>
    <w:autoRedefine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autoRedefine/>
    <w:qFormat/>
    <w:uiPriority w:val="0"/>
    <w:rPr>
      <w:vertAlign w:val="superscript"/>
    </w:rPr>
  </w:style>
  <w:style w:type="paragraph" w:styleId="15">
    <w:name w:val="footnote text"/>
    <w:basedOn w:val="1"/>
    <w:autoRedefine/>
    <w:semiHidden/>
    <w:qFormat/>
    <w:uiPriority w:val="0"/>
    <w:rPr>
      <w:sz w:val="20"/>
      <w:szCs w:val="20"/>
    </w:rPr>
  </w:style>
  <w:style w:type="paragraph" w:styleId="16">
    <w:name w:val="header"/>
    <w:basedOn w:val="1"/>
    <w:autoRedefine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autoRedefine/>
    <w:qFormat/>
    <w:uiPriority w:val="0"/>
    <w:rPr>
      <w:color w:val="0000FF"/>
      <w:u w:val="single"/>
    </w:rPr>
  </w:style>
  <w:style w:type="paragraph" w:styleId="1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autoRedefine/>
    <w:qFormat/>
    <w:uiPriority w:val="0"/>
  </w:style>
  <w:style w:type="character" w:styleId="20">
    <w:name w:val="Strong"/>
    <w:basedOn w:val="9"/>
    <w:autoRedefine/>
    <w:qFormat/>
    <w:uiPriority w:val="0"/>
    <w:rPr>
      <w:b/>
      <w:bCs/>
    </w:rPr>
  </w:style>
  <w:style w:type="table" w:styleId="2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autoRedefine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autoRedefine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autoRedefine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autoRedefine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autoRedefine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autoRedefine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autoRedefine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autoRedefine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autoRedefine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autoRedefine/>
    <w:qFormat/>
    <w:uiPriority w:val="0"/>
  </w:style>
  <w:style w:type="table" w:customStyle="1" w:styleId="33">
    <w:name w:val="_Style 11"/>
    <w:basedOn w:val="32"/>
    <w:autoRedefine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autoRedefine/>
    <w:qFormat/>
    <w:uiPriority w:val="1"/>
    <w:rPr>
      <w:rFonts w:ascii="Times New Roman" w:hAnsi="Times New Roman" w:eastAsia="Times New Roman" w:cs="Times New Roman"/>
      <w:lang w:val="vi" w:eastAsia="en-US" w:bidi="ar-SA"/>
    </w:rPr>
  </w:style>
  <w:style w:type="paragraph" w:customStyle="1" w:styleId="35">
    <w:name w:val="Style13"/>
    <w:basedOn w:val="1"/>
    <w:autoRedefine/>
    <w:qFormat/>
    <w:uiPriority w:val="0"/>
    <w:pPr>
      <w:spacing w:before="120" w:after="120" w:line="312" w:lineRule="auto"/>
      <w:ind w:firstLine="720"/>
      <w:jc w:val="center"/>
    </w:pPr>
    <w:rPr>
      <w:b/>
      <w:lang w:val="nl-NL"/>
    </w:rPr>
  </w:style>
  <w:style w:type="paragraph" w:customStyle="1" w:styleId="36">
    <w:name w:val="V/v"/>
    <w:basedOn w:val="1"/>
    <w:qFormat/>
    <w:uiPriority w:val="0"/>
    <w:pPr>
      <w:tabs>
        <w:tab w:val="center" w:pos="1701"/>
      </w:tabs>
      <w:spacing w:before="60" w:line="260" w:lineRule="atLeast"/>
    </w:pPr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Thuỷ Thu</cp:lastModifiedBy>
  <dcterms:modified xsi:type="dcterms:W3CDTF">2024-05-11T12:48:15Z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A50DD3DE842540BC9CE115F9D41EB282_11</vt:lpwstr>
  </property>
</Properties>
</file>