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center"/>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b/>
          <w:bCs/>
          <w:i w:val="0"/>
          <w:iCs w:val="0"/>
          <w:caps w:val="0"/>
          <w:color w:val="222222"/>
          <w:spacing w:val="0"/>
          <w:kern w:val="0"/>
          <w:sz w:val="28"/>
          <w:szCs w:val="28"/>
          <w:bdr w:val="none" w:color="auto" w:sz="0" w:space="0"/>
          <w:lang w:eastAsia="zh-CN" w:bidi="ar"/>
        </w:rPr>
        <w:t>CỘNG HÒA XÃ HỘI CHỦ NGHĨA VIỆT NAM</w:t>
      </w:r>
      <w:r>
        <w:rPr>
          <w:rFonts w:hint="default" w:ascii="Times New Roman" w:hAnsi="Times New Roman" w:cs="Times New Roman" w:eastAsiaTheme="minorEastAsia"/>
          <w:b/>
          <w:bCs/>
          <w:i w:val="0"/>
          <w:iCs w:val="0"/>
          <w:caps w:val="0"/>
          <w:color w:val="222222"/>
          <w:spacing w:val="0"/>
          <w:kern w:val="0"/>
          <w:sz w:val="28"/>
          <w:szCs w:val="28"/>
          <w:bdr w:val="none" w:color="auto" w:sz="0" w:space="0"/>
          <w:lang w:eastAsia="zh-CN" w:bidi="ar"/>
        </w:rPr>
        <w:br w:type="textWrapping"/>
      </w:r>
      <w:r>
        <w:rPr>
          <w:rFonts w:hint="default" w:ascii="Times New Roman" w:hAnsi="Times New Roman" w:cs="Times New Roman" w:eastAsiaTheme="minorEastAsia"/>
          <w:b/>
          <w:bCs/>
          <w:i w:val="0"/>
          <w:iCs w:val="0"/>
          <w:caps w:val="0"/>
          <w:color w:val="222222"/>
          <w:spacing w:val="0"/>
          <w:kern w:val="0"/>
          <w:sz w:val="28"/>
          <w:szCs w:val="28"/>
          <w:bdr w:val="none" w:color="auto" w:sz="0" w:space="0"/>
          <w:lang w:eastAsia="zh-CN" w:bidi="ar"/>
        </w:rPr>
        <w:t>Độc lập - Tự do - Hạnh phúc</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44" w:afterAutospacing="0" w:line="360" w:lineRule="auto"/>
        <w:ind w:left="0" w:right="0" w:firstLine="0"/>
        <w:jc w:val="righ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ngày</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tháng</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năm</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center"/>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b/>
          <w:bCs/>
          <w:i w:val="0"/>
          <w:iCs w:val="0"/>
          <w:caps w:val="0"/>
          <w:color w:val="222222"/>
          <w:spacing w:val="0"/>
          <w:kern w:val="0"/>
          <w:sz w:val="28"/>
          <w:szCs w:val="28"/>
          <w:bdr w:val="none" w:color="auto" w:sz="0" w:space="0"/>
          <w:lang w:eastAsia="zh-CN" w:bidi="ar"/>
        </w:rPr>
        <w:t>GIẤY ĐĂNG KÝ CHÀO BÁN CHỨNG CHỈ QUỸ</w:t>
      </w:r>
      <w:r>
        <w:rPr>
          <w:rFonts w:hint="default" w:ascii="Times New Roman" w:hAnsi="Times New Roman" w:cs="Times New Roman"/>
          <w:b/>
          <w:bCs/>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b/>
          <w:bCs/>
          <w:i w:val="0"/>
          <w:iCs w:val="0"/>
          <w:caps w:val="0"/>
          <w:color w:val="222222"/>
          <w:spacing w:val="0"/>
          <w:kern w:val="0"/>
          <w:sz w:val="28"/>
          <w:szCs w:val="28"/>
          <w:bdr w:val="none" w:color="auto" w:sz="0" w:space="0"/>
          <w:lang w:eastAsia="zh-CN" w:bidi="ar"/>
        </w:rPr>
        <w:t>RA CÔNG CHÚNG</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center"/>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Kính gửi: Ủy ban Chứng khoán Nhà nước</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b/>
          <w:bCs/>
          <w:i w:val="0"/>
          <w:iCs w:val="0"/>
          <w:caps w:val="0"/>
          <w:color w:val="222222"/>
          <w:spacing w:val="0"/>
          <w:kern w:val="0"/>
          <w:sz w:val="28"/>
          <w:szCs w:val="28"/>
          <w:bdr w:val="none" w:color="auto" w:sz="0" w:space="0"/>
          <w:lang w:eastAsia="zh-CN" w:bidi="ar"/>
        </w:rPr>
        <w:t>I. CHÚNG TÔI LÀ:</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Công ty quản lý quỹ: (tên công ty)</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Giấy phép thành lập và hoạt động số</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do Ủy ban chứng khoán Nhà nước cấp ngày</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tháng</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năm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kern w:val="0"/>
          <w:sz w:val="28"/>
          <w:szCs w:val="28"/>
          <w:bdr w:val="none" w:color="auto" w:sz="0" w:space="0"/>
          <w:lang w:val="en-US" w:eastAsia="zh-CN" w:bidi="ar"/>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Địa chỉ trụ sở chính: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Điện thoại: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Fax: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Đăng ký chào bán chứng chỉ quỹ/cổ phiếu công ty đầu tư chứng khoán với các nội dung sau:</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1. Thông tin về quỹ đầu tư/công ty đầu tư chứng khoán</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Tên của quỹ/công ty đầu tư chứng khoán</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Mục tiêu đầu tư:</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Chiến lược đầu tư:</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Chỉ số tham chiếu</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N</w:t>
      </w:r>
      <w:r>
        <w:rPr>
          <w:rFonts w:hint="default" w:ascii="Times New Roman" w:hAnsi="Times New Roman" w:cs="Times New Roman" w:eastAsiaTheme="minorEastAsia"/>
          <w:i w:val="0"/>
          <w:iCs w:val="0"/>
          <w:caps w:val="0"/>
          <w:color w:val="222222"/>
          <w:spacing w:val="0"/>
          <w:kern w:val="0"/>
          <w:sz w:val="28"/>
          <w:szCs w:val="28"/>
          <w:bdr w:val="none" w:color="auto" w:sz="0" w:space="0"/>
          <w:lang w:val="en-US" w:eastAsia="zh-CN" w:bidi="ar"/>
        </w:rPr>
        <w:t>ơ</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i niêm yết:</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kern w:val="0"/>
          <w:sz w:val="28"/>
          <w:szCs w:val="28"/>
          <w:bdr w:val="none" w:color="auto" w:sz="0" w:space="0"/>
          <w:lang w:val="en-US" w:eastAsia="zh-CN" w:bidi="ar"/>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Loại hình quỹ</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Thời hạn hoạt động</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4. Số lượng chứng chỉ quỹ trong một l</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ô: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5. Mệnh giá chứng chỉ quỹ/cổ phiếu:</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6. Tổng số lô chứng chỉ quỹ dự kiến chào bán</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7. Tổng số lô chứng chỉ quỹ tối đa lưu hành</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b/>
          <w:bCs/>
          <w:i w:val="0"/>
          <w:iCs w:val="0"/>
          <w:caps w:val="0"/>
          <w:color w:val="222222"/>
          <w:spacing w:val="0"/>
          <w:kern w:val="0"/>
          <w:sz w:val="28"/>
          <w:szCs w:val="28"/>
          <w:bdr w:val="none" w:color="auto" w:sz="0" w:space="0"/>
          <w:lang w:eastAsia="zh-CN" w:bidi="ar"/>
        </w:rPr>
        <w:t>II. THÔNG TIN VỀ CÁC BÊN LIÊN QUAN:</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1. Ngân hàng giám sát: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kern w:val="0"/>
          <w:sz w:val="28"/>
          <w:szCs w:val="28"/>
          <w:bdr w:val="none" w:color="auto" w:sz="0" w:space="0"/>
          <w:lang w:val="en-US" w:eastAsia="zh-CN" w:bidi="ar"/>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Tên ngân hàng</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Giấy phép thành lập và hoạt động số:</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do Ngân hàng Nhà nước cấp ngày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Giấy chứng nhận đăng ký hoạt động lưu ký chứng khoán số:</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do Ủy ban Chứng khoán Nhà nước cấp ngày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Địa chỉ trụ sở chính: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eastAsiaTheme="minorEastAsia"/>
          <w:i w:val="0"/>
          <w:iCs w:val="0"/>
          <w:caps w:val="0"/>
          <w:color w:val="222222"/>
          <w:spacing w:val="0"/>
          <w:kern w:val="0"/>
          <w:sz w:val="28"/>
          <w:szCs w:val="28"/>
          <w:bdr w:val="none" w:color="auto" w:sz="0" w:space="0"/>
          <w:lang w:val="en-US" w:eastAsia="zh-CN" w:bidi="ar"/>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Điện thoại:</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Fax:</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2. Thành viên lập quỹ</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Tên công ty chứng khoán/tên ngân hàng lưu ký:</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Giấy phép thành lập và hoạt động số:</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do Ủy ban Chứng khoán Nhà nước cấp ngày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…/g</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iấy chứng nhận đăng ký hoạt động lưu ký chứng khoán do</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cấp</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ngày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Địa chỉ trụ sở chính: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kern w:val="0"/>
          <w:sz w:val="28"/>
          <w:szCs w:val="28"/>
          <w:bdr w:val="none" w:color="auto" w:sz="0" w:space="0"/>
          <w:lang w:val="en-US" w:eastAsia="zh-CN" w:bidi="ar"/>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Điện thoại:</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Fax: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3. Tổ chức tạo lập thị trường</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Tên công ty chứng khoán</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Giấy phép thành lập và hoạt động số: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do Ủy ban Chứng khoán Nhà nước cấp ngày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Địa chỉ trụ sở chính: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eastAsiaTheme="minorEastAsia"/>
          <w:i w:val="0"/>
          <w:iCs w:val="0"/>
          <w:caps w:val="0"/>
          <w:color w:val="222222"/>
          <w:spacing w:val="0"/>
          <w:kern w:val="0"/>
          <w:sz w:val="28"/>
          <w:szCs w:val="28"/>
          <w:bdr w:val="none" w:color="auto" w:sz="0" w:space="0"/>
          <w:lang w:val="en-US" w:eastAsia="zh-CN" w:bidi="ar"/>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Điện thoại:</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Fax: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4. Đại lý phân phối:</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Tên công ty chứng khoán</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Giấy phép thành lập và hoạt động số: ... do Ủy ban Chứng khoán Nhà nước cấp ngày</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kern w:val="0"/>
          <w:sz w:val="28"/>
          <w:szCs w:val="28"/>
          <w:bdr w:val="none" w:color="auto" w:sz="0" w:space="0"/>
          <w:lang w:val="en-US" w:eastAsia="zh-CN" w:bidi="ar"/>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xml:space="preserve">- Địa chỉ trụ sở chính: </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eastAsiaTheme="minorEastAsia"/>
          <w:i w:val="0"/>
          <w:iCs w:val="0"/>
          <w:caps w:val="0"/>
          <w:color w:val="222222"/>
          <w:spacing w:val="0"/>
          <w:kern w:val="0"/>
          <w:sz w:val="28"/>
          <w:szCs w:val="28"/>
          <w:bdr w:val="none" w:color="auto" w:sz="0" w:space="0"/>
          <w:lang w:val="en-US" w:eastAsia="zh-CN" w:bidi="ar"/>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Điện thoại:</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Fax:</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Chúng tôi cam kết: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Những thông tin trong hồ sơ này là chính xác, đầy đủ và đúng sự thật, không có thông tin giả mạo hoặc chưa đầy đủ có thể làm cho người mua chứng chỉ quỹ chịu thiệt hại</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lang w:val="en-US"/>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Nghiên cứu và nghiêm chỉnh tuân theo quy định của pháp luật về chứng khoán và thị trường chứng khoán</w:t>
      </w:r>
      <w:r>
        <w:rPr>
          <w:rFonts w:hint="default" w:ascii="Times New Roman" w:hAnsi="Times New Roman" w:cs="Times New Roman"/>
          <w:i w:val="0"/>
          <w:iCs w:val="0"/>
          <w:caps w:val="0"/>
          <w:color w:val="222222"/>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firstLine="0"/>
        <w:jc w:val="left"/>
        <w:rPr>
          <w:rFonts w:hint="default" w:ascii="Times New Roman" w:hAnsi="Times New Roman" w:cs="Times New Roman"/>
          <w:i w:val="0"/>
          <w:iCs w:val="0"/>
          <w:caps w:val="0"/>
          <w:color w:val="222222"/>
          <w:spacing w:val="0"/>
          <w:sz w:val="28"/>
          <w:szCs w:val="28"/>
        </w:rPr>
      </w:pPr>
      <w:r>
        <w:rPr>
          <w:rFonts w:hint="default" w:ascii="Times New Roman" w:hAnsi="Times New Roman" w:cs="Times New Roman" w:eastAsiaTheme="minorEastAsia"/>
          <w:i w:val="0"/>
          <w:iCs w:val="0"/>
          <w:caps w:val="0"/>
          <w:color w:val="222222"/>
          <w:spacing w:val="0"/>
          <w:kern w:val="0"/>
          <w:sz w:val="28"/>
          <w:szCs w:val="28"/>
          <w:bdr w:val="none" w:color="auto" w:sz="0" w:space="0"/>
          <w:lang w:eastAsia="zh-CN" w:bidi="ar"/>
        </w:rPr>
        <w:t>- Không công bố thông tin dưới mọi hình thức về việc chào bán chứng chỉ quỹ trên các phương tiện thông tin đại chúng trước khi được Ủy ban Chứng khoán Nhà nước cấp Giấy chứng nhận đăng ký chào bán.</w:t>
      </w:r>
    </w:p>
    <w:tbl>
      <w:tblPr>
        <w:tblW w:w="87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08"/>
        <w:gridCol w:w="4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948" w:type="dxa"/>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jc w:val="center"/>
              <w:rPr>
                <w:rFonts w:hint="default" w:ascii="Times New Roman" w:hAnsi="Times New Roman" w:cs="Times New Roman"/>
                <w:color w:val="222222"/>
                <w:sz w:val="28"/>
                <w:szCs w:val="28"/>
              </w:rPr>
            </w:pPr>
            <w:r>
              <w:rPr>
                <w:rFonts w:hint="default" w:ascii="Times New Roman" w:hAnsi="Times New Roman" w:cs="Times New Roman" w:eastAsiaTheme="minorEastAsia"/>
                <w:b/>
                <w:bCs/>
                <w:i/>
                <w:iCs/>
                <w:color w:val="222222"/>
                <w:kern w:val="0"/>
                <w:sz w:val="28"/>
                <w:szCs w:val="28"/>
                <w:bdr w:val="none" w:color="auto" w:sz="0" w:space="0"/>
                <w:lang w:eastAsia="zh-CN" w:bidi="ar"/>
              </w:rPr>
              <w:t>Hồ sơ gửi kèm</w:t>
            </w:r>
            <w:r>
              <w:rPr>
                <w:rFonts w:hint="default" w:ascii="Times New Roman" w:hAnsi="Times New Roman" w:cs="Times New Roman" w:eastAsiaTheme="minorEastAsia"/>
                <w:color w:val="222222"/>
                <w:kern w:val="0"/>
                <w:sz w:val="28"/>
                <w:szCs w:val="28"/>
                <w:bdr w:val="none" w:color="auto" w:sz="0" w:space="0"/>
                <w:lang w:val="en-US" w:eastAsia="zh-CN" w:bidi="ar"/>
              </w:rPr>
              <w:br w:type="textWrapping"/>
            </w:r>
            <w:r>
              <w:rPr>
                <w:rFonts w:hint="default" w:ascii="Times New Roman" w:hAnsi="Times New Roman" w:cs="Times New Roman" w:eastAsiaTheme="minorEastAsia"/>
                <w:i/>
                <w:iCs/>
                <w:color w:val="222222"/>
                <w:kern w:val="0"/>
                <w:sz w:val="28"/>
                <w:szCs w:val="28"/>
                <w:bdr w:val="none" w:color="auto" w:sz="0" w:space="0"/>
                <w:lang w:eastAsia="zh-CN" w:bidi="ar"/>
              </w:rPr>
              <w:t>(Liệt kê đầy đủ)</w:t>
            </w:r>
          </w:p>
        </w:tc>
        <w:tc>
          <w:tcPr>
            <w:tcW w:w="4908" w:type="dxa"/>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4" w:afterAutospacing="0" w:line="360" w:lineRule="auto"/>
              <w:ind w:left="0" w:right="0"/>
              <w:jc w:val="center"/>
              <w:rPr>
                <w:rFonts w:hint="default" w:ascii="Times New Roman" w:hAnsi="Times New Roman" w:cs="Times New Roman"/>
                <w:color w:val="222222"/>
                <w:sz w:val="28"/>
                <w:szCs w:val="28"/>
              </w:rPr>
            </w:pPr>
            <w:r>
              <w:rPr>
                <w:rFonts w:hint="default" w:ascii="Times New Roman" w:hAnsi="Times New Roman" w:cs="Times New Roman" w:eastAsiaTheme="minorEastAsia"/>
                <w:b/>
                <w:bCs/>
                <w:color w:val="222222"/>
                <w:kern w:val="0"/>
                <w:sz w:val="28"/>
                <w:szCs w:val="28"/>
                <w:bdr w:val="none" w:color="auto" w:sz="0" w:space="0"/>
                <w:lang w:eastAsia="zh-CN" w:bidi="ar"/>
              </w:rPr>
              <w:t>(TỔNG) GIÁM ĐỐC CÔNG TY QUẢN LÝ QUỸ</w:t>
            </w:r>
            <w:r>
              <w:rPr>
                <w:rFonts w:hint="default" w:ascii="Times New Roman" w:hAnsi="Times New Roman" w:cs="Times New Roman" w:eastAsiaTheme="minorEastAsia"/>
                <w:color w:val="222222"/>
                <w:kern w:val="0"/>
                <w:sz w:val="28"/>
                <w:szCs w:val="28"/>
                <w:bdr w:val="none" w:color="auto" w:sz="0" w:space="0"/>
                <w:lang w:val="en-US" w:eastAsia="zh-CN" w:bidi="ar"/>
              </w:rPr>
              <w:br w:type="textWrapping"/>
            </w:r>
            <w:r>
              <w:rPr>
                <w:rFonts w:hint="default" w:ascii="Times New Roman" w:hAnsi="Times New Roman" w:cs="Times New Roman" w:eastAsiaTheme="minorEastAsia"/>
                <w:i/>
                <w:iCs/>
                <w:color w:val="222222"/>
                <w:kern w:val="0"/>
                <w:sz w:val="28"/>
                <w:szCs w:val="28"/>
                <w:bdr w:val="none" w:color="auto" w:sz="0" w:space="0"/>
                <w:lang w:eastAsia="zh-CN" w:bidi="ar"/>
              </w:rPr>
              <w:t>(K</w:t>
            </w:r>
            <w:bookmarkStart w:id="0" w:name="_GoBack"/>
            <w:bookmarkEnd w:id="0"/>
            <w:r>
              <w:rPr>
                <w:rFonts w:hint="default" w:ascii="Times New Roman" w:hAnsi="Times New Roman" w:cs="Times New Roman" w:eastAsiaTheme="minorEastAsia"/>
                <w:i/>
                <w:iCs/>
                <w:color w:val="222222"/>
                <w:kern w:val="0"/>
                <w:sz w:val="28"/>
                <w:szCs w:val="28"/>
                <w:bdr w:val="none" w:color="auto" w:sz="0" w:space="0"/>
                <w:lang w:eastAsia="zh-CN" w:bidi="ar"/>
              </w:rPr>
              <w:t>ý, ghi rõ họ tên và đóng dấu)</w:t>
            </w:r>
          </w:p>
        </w:tc>
      </w:tr>
    </w:tbl>
    <w:p>
      <w:pPr>
        <w:spacing w:line="360" w:lineRule="auto"/>
        <w:rPr>
          <w:rFonts w:hint="default" w:ascii="Times New Roman" w:hAnsi="Times New Roman" w:cs="Times New Roman"/>
          <w:sz w:val="28"/>
          <w:szCs w:val="28"/>
        </w:rPr>
      </w:pP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AD90CA"/>
    <w:multiLevelType w:val="singleLevel"/>
    <w:tmpl w:val="CCAD90C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F5B15"/>
    <w:rsid w:val="2E4F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2024-01-08T08:49:00Z</dcterms:created>
  <dc:creator>LENOVO</dc:creator>
  <cp:lastModifiedBy>Thuỷ Thu</cp:lastModifiedBy>
  <dcterms:modified xsi:type="dcterms:W3CDTF">2024-01-08T08:55:53Z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B0E1528ADFE841268D056FF0E64EFCD2_11</vt:lpwstr>
  </property>
</Properties>
</file>