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95" w:rsidRPr="00941F95" w:rsidRDefault="00941F95" w:rsidP="00941F95">
      <w:pPr>
        <w:spacing w:before="100" w:beforeAutospacing="1" w:after="100" w:afterAutospacing="1" w:line="240" w:lineRule="auto"/>
        <w:jc w:val="center"/>
        <w:rPr>
          <w:rFonts w:eastAsia="Times New Roman"/>
          <w:sz w:val="24"/>
          <w:szCs w:val="24"/>
        </w:rPr>
      </w:pPr>
      <w:r w:rsidRPr="00941F95">
        <w:rPr>
          <w:rFonts w:eastAsia="Times New Roman"/>
          <w:b/>
          <w:bCs/>
          <w:sz w:val="24"/>
          <w:szCs w:val="24"/>
          <w:lang w:val="vi-VN"/>
        </w:rPr>
        <w:t>ĐIỀU LỆ</w:t>
      </w:r>
    </w:p>
    <w:p w:rsidR="00941F95" w:rsidRPr="00941F95" w:rsidRDefault="00941F95" w:rsidP="00941F95">
      <w:pPr>
        <w:spacing w:before="100" w:beforeAutospacing="1" w:after="100" w:afterAutospacing="1" w:line="240" w:lineRule="auto"/>
        <w:jc w:val="center"/>
        <w:rPr>
          <w:rFonts w:eastAsia="Times New Roman"/>
          <w:sz w:val="24"/>
          <w:szCs w:val="24"/>
        </w:rPr>
      </w:pPr>
      <w:r w:rsidRPr="00941F95">
        <w:rPr>
          <w:rFonts w:eastAsia="Times New Roman"/>
          <w:sz w:val="24"/>
          <w:szCs w:val="24"/>
          <w:lang w:val="vi-VN"/>
        </w:rPr>
        <w:t>TRƯỜNG ĐẠI HỌC</w:t>
      </w:r>
      <w:r w:rsidRPr="00941F95">
        <w:rPr>
          <w:rFonts w:eastAsia="Times New Roman"/>
          <w:sz w:val="24"/>
          <w:szCs w:val="24"/>
          <w:lang w:val="vi-VN"/>
        </w:rPr>
        <w:br/>
      </w:r>
      <w:r w:rsidRPr="00941F95">
        <w:rPr>
          <w:rFonts w:eastAsia="Times New Roman"/>
          <w:i/>
          <w:iCs/>
          <w:sz w:val="24"/>
          <w:szCs w:val="24"/>
          <w:lang w:val="vi-VN"/>
        </w:rPr>
        <w:t>(Ban hành kèm theo Quyết định số 70/2014/QĐ-TTg ngày 10 tháng 12 năm 2014 của Thủ tướng Chính phủ)</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Chương I</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NHỮNG QUY ĐỊNH CHUNG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1. Phạm vi điều chỉnh và đối tượng áp dụng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Điều lệ này quy định về: Nhiệm vụ và quyền hạn; tổ chức và quản lý trường đại học; hoạt động đào tạo, hoạt động khoa học và công nghệ, hoạt động hợp tác quốc tế; giảng viên và người học; tài chính và tài sản; quan hệ giữa trường đại học, gia đình và xã hội; tổ chức thực hiện Điều lệ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2. Điều lệ này áp dụng đối với trường đại học, học viện đào tạo trình độ đại học, thạc sĩ, tiến sĩ (gọi chung là trường đại học) thuộc các loại hình công lập, tư thục trong hệ thống giáo dục quốc dân. Các trường đại học thành viên của đại học quốc gia áp dụng Điều lệ này và quy chế tổ chức và hoạt động của đại học quốc gia và các cơ sở giáo dục đại học thành viên do Thủ tướng Chính phủ ban hành. Các trường đại học thành viên của đại học vùng áp dụng Điều lệ này và quy chế tổ chức và hoạt động của đại học vùng và các cơ sở giáo dục đại học thành viên do Bộ trưởng Bộ Giáo dục và Đào tạo ban hành.</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3. Trường đại học có vốn đầu tư nước ngoài thực hiện các quy định về hoạt động của trường đại học, quyền lợi của người học tại Điều lệ này; các nội dung khác thực hiện theo quy định của pháp luật về hợp tác, đầu tư của nước ngoài trong lĩnh vực giáo dục đại học, riêng về tiêu chuẩn giảng viên, cán bộ lãnh đạo, cán bộ quản lý nhà trường không được thấp hơn tiêu chuẩn tương ứng quy định tại Điều lệ này.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2. Giải thích từ ngữ</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Trong văn bản này, các từ ngữ dưới đây được hiểu như sau:</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Giảng viên cơ hữu, cán bộ quản lý cơ hữu</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Giảng viên cơ hữu, cán bộ quản lý cơ hữu của trường đại học công lập là viên chức được tuyển dụng, sử dụng và quản lý theo quy định của pháp luật về viên chức;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Giảng viên cơ hữu, cán bộ quản lý cơ hữu của trường đại học tư thục là người lao động ký hợp đồng lao động có thời hạn 3 năm hoặc hợp đồng không xác định thời hạn theo Bộ luật Lao động, không là công chức hoặc viên chức nhà nước, không đang làm việc theo hợp đồng lao động có thời hạn từ 3 tháng trở lên với đơn vị sử dụng lao động khác; do nhà trường trả lương và chi trả các khoản khác thuộc chế độ, chính sách đối với người lao động theo các quy định hiện hành.</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lastRenderedPageBreak/>
        <w:t>2. Góp vốn là việc đưa tài sản vào trường để tạo thành vốn điều lệ của trường đại học tư thục. Tài sản góp vốn có thể bằng đồng Việt Nam (VNĐ), vàng, ngoại tệ, giá trị quyền sử dụng đất (đất), giá trị quyền sở hữu trí tuệ và các tài sản khác được ghi trong quy chế tổ chức và hoạt động của trường. Tổng giá trị các tài sản do các cá nhân đóng góp được quy đổi thành VNĐ theo tỷ giá quy định của Ngân hàng nhà nước tại thời điểm góp vốn.</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3. Vốn điều lệ là tổng giá trị số vốn góp bằng đồng Việt Nam (VNĐ) của tất cả các thành viên góp vốn, được ghi vào quy chế tổ chức và hoạt động của trường. Trong quá trình hoạt động vốn điều lệ có thể được gia tăng theo nhu cầu xây dựng và phát triển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4. Thành viên sáng lập là người tham gia trực tiếp đề xuất, chuẩn bị thành lập trường, có tên trong danh sách thành viên sáng lập tại hồ sơ đề nghị thành lập trường; tham gia xây dựng và thông qua quy chế tổ chức và hoạt động đầu tiên của nhà trường và có số vốn góp đáp ứng quy định của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5. Cơ quan trực tiếp quản lý trường đại học công lập là cơ quan, tổ chức được giao quản lý trường đại học theo quy định của pháp luật, bao gồm: Các Bộ, Ban, ngành trung ương; Ủy ban nhân dân tỉnh, thành phố trực thuộc Trung ương (gọi chung là Ủy ban nhân dân cấp tỉnh); các tổ chức chính trị, tổ chức chính trị - xã hội, các tập đoàn kinh tế; các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3. Nguyên tắc đặt tên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Tên của trường đại học bao gồm các cụm từ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Cụm từ xác định loại trường: Trường đại học, học viện;</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Cụm từ xác định loại hình trường, lĩnh vực, ngành nghề đào tạo (nếu cần);</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Tên riêng: Tên địa phương, tên danh nhân văn hóa, lịch sử Việt Nam, tên cá nhân, tổ chức;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d) Cụm từ xác định chất lượng, đẳng cấp nếu thấy cần thiết.</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2. Trường đại học có tên bằng tiếng Việt và tên giao dịch quốc tế bằng tiếng nước ngoài được dịch theo quy định thống nhất của Bộ Giáo dục và Đào tạo. Tên của trường không được trùng hoặc gây nhầm lẫn với tên của cơ sở giáo dục đại học khác.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4. Quy chế tổ chức và hoạt động của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Quy chế tổ chức và hoạt động của trường đại học do hiệu trưởng ban hành theo quyết nghị của hội đồng trường (đối với trường công lập) hoặc hội đồng quản trị (đối với trường tư thục) trên cơ sở cụ thể hóa các quy định tại Điều lệ này, phù hợp với điều kiện đặc thù của nhà trường, không trái với các quy định pháp luật có liên quan và phải được công bố công khai.</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5. Nhiệm vụ, quyền hạn, quyền tự chủ và trách nhiệm xã hội của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lastRenderedPageBreak/>
        <w:t>1. Trường đại học thực hiện nhiệm vụ và quyền hạn theo quy định tại Điều 28 của Luật Giáo dục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2. Quyền tự chủ của trường đại học thực hiện theo quy định tại Điều 32 của Luật Giáo dục đại học và một số quy định cụ thể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Quyết định mục tiêu, chiến lược và kế hoạch phát triển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Quyết định thành lập bộ máy tổ chức, phát triển đội ngũ giảng viên, cán bộ quản lý trên cơ sở chiến lược và quy hoạch phát triển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Thu, chi tài chính, đầu tư phát triển các điều kiện đảm bảo chất lượng đào tạo theo quy định của pháp luật; quyết định mức thu học phí tương ứng với điều kiện đảm bảo chất lượng đào tạo đối với chương trình đào tạo chất lượng cao và các quy định về tự chủ tài chính đối với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d) Tuyển sinh và phát triển chương trình đào tạo; tổ chức biên soạn hoặc lựa chọn giáo trình giảng dạy phù hợp với mục tiêu đào tạo của từng chương trình đào tạo; in phôi văn bằng, quản lý và cấp văn bằng, chứng chỉ cho người học theo quy định của pháp luật;</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đ) Tổ chức triển khai các hoạt động khoa học và công nghệ, hợp tác quốc tế theo chiến lược và kế hoạch phát triển của nhà trường; đảm bảo chất lượng đào tạo của nhà trường; lựa chọn tổ chức kiểm định chất lượng giáo dục để đăng ký kiểm định.</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3. Trách nhiệm xã hội của trường đại học thể hiện ở các hoạt động: Báo cáo, công khai và giải trình với cơ quan quản lý nhà nước và các bên liên quan về các hoạt động của nhà trường theo quy định của pháp luật; cam kết với cơ quan quản lý nhà nước và chịu trách nhiệm về mọi hoạt động để đạt được các cam kết; không để bất kỳ cá nhân hoặc tổ chức nào lợi dụng danh nghĩa và cơ sở vật chất của trường để tiến hành các hoạt động trái với các quy định của pháp luật và của Điều lệ này.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Chương II</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TỔ CHỨC VÀ QUẢN LÝ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Mục 1: CƠ CẤU TỔ CHỨC CỦA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6. Cơ cấu tổ chức của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Trường đại học có cơ cấu tổ chức theo quy định tại Điều 14 của Luật Giáo dục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Việc thành lập, giải thể các đơn vị thuộc trường đại học; cơ cấu tổ chức, nhiệm vụ, quyền hạn của từng đơn vị được thực hiện theo quy định của pháp luật, của Điều lệ này và được cụ thể hóa trong quy chế tổ chức và hoạt động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lastRenderedPageBreak/>
        <w:t>2. Trường đại học có vốn đầu tư nước ngoài tự chủ về cơ cấu tổ chức; có trách nhiệm công bố công khai và báo cáo về cơ cấu tổ chức, người đại diện của nhà trường với Bộ Giáo dục và Đào tạo và Ủy ban nhân dân cấp tỉnh nơi trường đặt trụ sở chính.</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7. Phân hiệu của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Phân hiệu của trường đại học được thành lập và hoạt động theo quy định tại Điều 21 của Luật Giáo dục đại học và một số quy định cụ thể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Phân hiệu của trường đại học có giám đốc, tối đa 02 phó giám đốc phân hiệu và các đơn vị phục vụ phù hợp với yêu cầu hoạt động của phân hiệu. Tiêu chuẩn của giám đốc phân hiệu tương đương tiêu chuẩn phó hiệu trưởng phụ trách đào tạo của trường đại học; tiêu chuẩn của phó giám đốc phân hiệu tương đương tiêu chuẩn trưởng khoa của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2. Nhiệm vụ và quyền hạn của phân hiệu: Thực hiện trong phạm vi nhiệm vụ và quyền hạn của trường đại học được giao, tuân thủ sự điều hành chung của hiệu trưởng trường đại học. Các ngành, chuyên ngành đào tạo ở các trình độ giáo dục đại học chỉ được triển khai tại phân hiệu khi được cơ quan có thẩm quyền cho phép. Tổ chức và hoạt động của phân hiệu phải được quy định cụ thể trong quy chế tổ chức và hoạt động của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3. Phân hiệu của trường đại học có vốn đầu tư nước ngoài tại Việt Nam được thành lập theo quy định của pháp luật về hợp tác, đầu tư của nước ngoài trong lĩnh vực giáo dục, đào tạo.</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8. Đổi tên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Tên trường đại học có thể được thay đổi nếu thấy cần thiết và phù hợp với nguyên tắc đặt tên trường theo quy định tại Điều 3 Điều lệ này.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2. Hồ sơ xin đổi tên trường đại học bao gồm: Tờ trình đề nghị đổi tên trường; đề án đổi tên trường đại học, trong đó nêu rõ sự cần thiết, những thay đổi về chức năng, nhiệm vụ, tổ chức bộ máy, đầu tư cơ sở vật chất (nếu có), làm rõ sự ảnh hưởng đối với đào tạo nguồn nhân lực phục vụ phát triển kinh tế - xã hội, quy hoạch mạng lưới các trường đại học, các tác động đối với sinh viên, viên chức của nhà trường và các chủ thể liên quan; văn bản chấp thuận của cơ quan trực tiếp quản lý trường và Ủy ban nhân dân cấp tỉnh nơi trường đặt trụ sở chính; quyết nghị của hội đồng trường hoặc hội đồng quản trị và của đại hội đồng cổ đông (đối với trường đại học tư thục); dự thảo quy chế tổ chức và hoạt động mới.</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3. Quy trình xử lý hồ sơ: Trong thời hạn 45 ngày làm việc tính từ ngày nhận đủ hồ sơ theo quy định tại Khoản 2 Điều này, Bộ Giáo dục và Đào tạo tổ chức thẩm định hồ sơ, trình Thủ tướng Chính phủ quyết định. Trường hợp hồ sơ không bảo đảm đúng quy định tại Khoản 2 Điều này thì Bộ Giáo dục và Đào tạo thông báo cho trường bằng văn bản.</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Mục 2: TỔ CHỨC VÀ QUẢN LÝ CỦA TRƯỜNG ĐẠI HỌC CÔNG LẬP</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9.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lastRenderedPageBreak/>
        <w:t>Hội đồng trường được thành lập theo quy định tại Điều 16 của Luật Giáo dục đại học và một số quy định cụ thể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Nhiệm vụ và quyền hạn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Định kỳ hàng năm hoặc đột xuất báo cáo, giải trình với cơ quan trực tiếp quản lý trường, cơ quan quản lý nhà nước về các điều kiện đảm bảo chất lượng, các kết quả hoạt động, việc thực hiện các cam kết và tài chính của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Kiến nghị cơ quan có thẩm quyền thông qua phương án bổ sung, miễn nhiệm hoặc thay thế các thành viên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Thông qua các quy định về: Số lượng, cơ cấu lao động, vị trí việc làm; việc tuyển dụng, quản lý, sử dụng, phát triển đội ngũ viên chức, nhân viên hợp đồng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d) Giới thiệu nhân sự hiệu trưởng, phó hiệu trưởng để thực hiện quy trình bổ nhiệm theo quy định; thực hiện đánh giá hàng năm việc hoàn thành nhiệm vụ của hiệu trưởng, các phó hiệu trưởng; kiến nghị cơ quan có thẩm quyền miễn nhiệm hiệu trưởng, phó hiệu trưởng; tổ chức lấy phiếu thăm dò tín nhiệm hiệu trưởng, phó hiệu trưởng giữa nhiệm kỳ hoặc đột xuất trong trường hợp cần thiết;</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đ) Yêu cầu hiệu trưởng giải trình về những vấn đề chưa được thực hiện đúng, chưa được thực hiện đầy đủ theo nghị quyết của hội đồng trường, nếu có. Nếu hội đồng trường không đồng ý với giải trình của hiệu trưởng thì báo cáo cơ quan trực tiếp quản lý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2. Hội đồng trường có số lượng thành viên là số lẻ, tối thiểu là 15 thành viên; có 01 Chủ tịch và 01 thư ký hội đồng. Thành phần hội đồng trường gồm:</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Hiệu trưởng, các phó hiệu trưởng, Bí thư đảng ủy trường, Chủ tịch công đoàn trường, Bí thư Đoàn Thanh niên Cộng sản Hồ Chí Minh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Đại diện giảng viên, nghiên cứu viên của một số khoa, viện;</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Đại diện của cơ quan trực tiếp quản lý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d) Một số thành viên bên ngoài, không phải là giảng viên, cán bộ quản lý cơ hữu của trường đáp ứng các yêu cầu sau đây: Đang hoạt động trong lĩnh vực giáo dục, khoa học, công nghệ, sản xuất, kinh doanh có liên quan đến chức năng, nhiệm vụ của nhà trường; không phải là người có quan hệ bố, mẹ, vợ, chồng, con, anh, chị em ruột với các thành viên khác trong hội đồng trường. Nếu các thành viên này không phải là công chức, viên chức thì không đảm nhiệm chức vụ Chủ tịch hoặc thư ký hội đồng trường. Số lượng thành viên thuộc thành phần này chiếm không dưới 20% tổng số thành viên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đ) Số lượng, cơ cấu thành viên, quy trình, thủ tục lựa chọn các thành viên, bầu Chủ tịch, thư ký hội đồng trường phải được thể hiện cụ thể trong quy chế tổ chức và hoạt động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lastRenderedPageBreak/>
        <w:t>3. Chủ tịch hội đồng trường do hội đồng trường bầu trong số các thành viên của hội đồng trường theo nguyên tắc bỏ phiếu kín và phải được trên 50% tổng số thành viên theo danh sách của hội đồng trường đồng ý. Chủ tịch hội đồng trường không kiêm nhiệm chức vụ hiệu trưởng hoặc phó hiệu trưởng của nhà trường và có nhiệm vụ, quyền hạn cụ thể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Triệu tập các cuộc họp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Quyết định về chương trình nghị sự, chủ tọa các cuộc họp và tổ chức bỏ phiếu tại cuộc họp;</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Điều hành hội đồng trường thực hiện các nhiệm vụ quy định tại Điều 16 của Luật Giáo dục đại học và Khoản 1 Điều này.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4. Thư ký của hội đồng trường do Chủ tịch hội đồng trường giới thiệu trong số các thành viên của hội đồng trường và bổ nhiệm khi được hội đồng trường thông qua với trên 50% tổng số thành viên theo danh sách của hội đồng trường đồng ý. Thư ký hội đồng trường không kiêm nhiệm chức vụ hiệu trưởng hoặc phó hiệu trưởng, trực tiếp giúp Chủ tịch hội đồng trường thực hiện một số nhiệm vụ và quyền hạn cụ thể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Tổng hợp thông tin về hoạt động của trường báo cáo Chủ tịch hội đồng trường; chuẩn bị chương trình nghị sự, nội dung, tài liệu, gửi giấy mời họp và làm thư ký các cuộc họp của hội đồng; xây dựng, hoàn chỉnh, lưu trữ các văn bản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Chuẩn bị các báo cáo, giải trình với cơ quan quản lý nhà nước và các cơ quan liên quan theo nhiệm vụ, chức năng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Các nhiệm vụ khác do Chủ tịch hội đồng trường giao.</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5. Các thành viên của hội đồng trường có trách nhiệm thực hiện các nhiệm vụ do hội đồng trường phân công và các nhiệm vụ khác quy định tại quy chế tổ chức và hoạt động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10. Thủ tục thành lập hội đồng trường và bổ nhiệm Chủ tịch hội đồng trường; hoạt động của hội đồng trường; miễn nhiệm Chủ tịch và các thành viên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Thủ tục thành lập hội đồng trường và bổ nhiệm Chủ tịch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 xml:space="preserve">a) Đối với trường hợp trường đại học chưa có hội đồng trường, việc thành lập hội đồng trường nhiệm kỳ đầu tiên được thực hiện như sau: Căn cứ quy định tại Khoản 2 Điều 9 Điều lệ này, Hiệu trưởng chủ trì cuộc họp gồm các thành phần: Bí thư Đảng ủy trường, các phó hiệu trưởng, Chủ tịch công đoàn trường, Bí thư Đoàn Thanh niên Cộng sản Hồ Chí Minh trường để xác định tổng số thành viên hội đồng trường và số lượng thành viên của từng thành phần tham gia hội đồng trường; tổ chức bầu các thành viên đại diện cho giảng viên và nghiên cứu viên; đề nghị cơ quan trực tiếp quản lý trường cử đại diện tham gia hội đồng trường; xác định danh sách các thành viên bên ngoài không phải giảng viên cơ hữu hoặc cán bộ quản lý cơ hữu của trường; báo cáo danh sách thành viên hội đồng trường với cơ quan trực tiếp quản lý trường. Sau thời hạn 10 ngày làm việc kể từ ngày báo cáo, nếu không có ý kiến khác của cơ quan trực tiếp quản lý trường thì hiệu trưởng tổ chức họp các thành viên trong danh sách nêu trên để bầu Chủ tịch hội đồng trường. Trên </w:t>
      </w:r>
      <w:r w:rsidRPr="00941F95">
        <w:rPr>
          <w:rFonts w:eastAsia="Times New Roman"/>
          <w:sz w:val="24"/>
          <w:szCs w:val="24"/>
        </w:rPr>
        <w:lastRenderedPageBreak/>
        <w:t>cơ sở quyết nghị tại cuộc họp này, hiệu trưởng có văn bản đề nghị cơ quan trực tiếp quản lý trường ra Quyết định thành lập hội đồng trường và bổ nhiệm Chủ tịch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Đối với trường hợp trường đại học đã có hội đồng trường, việc thành lập hội đồng trường nhiệm kỳ kế tiếp được thực hiện như sau: Chủ tịch hội đồng trường đương nhiệm tổ chức thực hiện các quy định tại Điểm a Khoản này để thành lập hội đồng trường nhiệm kỳ kế tiếp theo đúng quy định tại Điều lệ này và quy chế tổ chức và hoạt động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Hồ sơ đề nghị thành lập hội đồng trường và bổ nhiệm Chủ tịch hội đồng trường gồm: Tờ trình đề nghị thành lập hội đồng trường, trong đó nêu rõ quy trình xác định các thành viên hội đồng trường; danh sách và sơ yếu lý lịch của chủ tịch và các thành viên của hội đồng trường; văn bản của cơ quan trực tiếp quản lý trường cử thành viên tham gia hội đồng trường; văn bản đồng ý tham gia hội đồng trường của các thành viên không phải giảng viên cơ hữu, cán bộ quản lý cơ hữu của trường; biên bản họp, biên bản kiểm phiếu, phiếu bầu Chủ tịch hội đồng trường và các thành viên đại diện cho khoa, viện thuộc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d) Thủ tục thay thế Chủ tịch và thành viên hội đồng trường: Trong trường hợp chủ tịch hội đồng trường tự nguyện xin thôi làm chủ tịch hội đồng trường hoặc không thể tiếp tục làm việc hoặc thuộc trường hợp bị miễn nhiệm theo quy định tại Khoản 3 Điều này thì hiệu trưởng tổ chức họp hội đồng trường để bầu Chủ tịch hội đồng trường mới và gửi hồ sơ đề nghị bổ nhiệm thay thế Chủ tịch hội đồng trường đến cơ quan trực tiếp quản lý trường quyết định. Hồ sơ gồm: Tờ trình nêu rõ lý do bầu thay thế Chủ tịch hội đồng trường, văn bản liên quan đến chủ tịch hội đồng trường đương nhiệm, biên bản họp hội đồng trường, biên bản kiểm phiếu và phiếu bầu chủ tịch hội đồng trường mới.</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Trường hợp hội đồng trường bị khuyết thành viên do có thành viên bị miễn nhiệm hoặc bị chết, nghỉ hưu, thuyên chuyển sang công tác khác không còn phù hợp với vị trí làm thành viên thì Chủ tịch hội đồng trường căn cứ vào thành phần của các thành viên bị khuyết để lựa chọn thành viên thay thế theo quy trình quy định tại Điểm a Khoản này. Hồ sơ đề nghị bổ sung, thay thế thành viên hội đồng trường gồm: Tờ trình nêu rõ lý do các trường hợp bổ sung thay thế, biên bản họp hội đồng trường, biên bản kiểm phiếu và phiếu bầu, các hồ sơ minh chứng liên quan (nếu có);</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đ) Về quy trình, thủ tục: trong thời hạn 30 ngày làm việc kể từ khi nhận đủ hồ sơ đề nghị của nhà trường, Thủ trưởng cơ quan trực tiếp quản lý trường ra quyết định thành lập hội đồng trường, bổ nhiệm Chủ tịch hội đồng trường hoặc bổ sung thay thế thành viên hội đồng trường. Trường hợp không đồng ý do hồ sơ còn thiếu hoặc không bảo đảm quy định thì cơ quan thụ lý hồ sơ phải có trách nhiệm trả lời trường bằng văn bản và nêu rõ lý do.</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2. Hoạt động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Hội đồng trường họp thường kỳ ít nhất 6 tháng một lần và họp bất thường khi có đề nghị bằng văn bản của trên 30% tổng số thành viên hội đồng trường hoặc có đề nghị của hiệu trưởng hoặc của Chủ tịch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 xml:space="preserve">Cuộc họp của hội đồng trường được coi là hợp lệ khi có ít nhất 2/3 số thành viên hội đồng tham dự. Quyết nghị của hội đồng chỉ có giá trị khi có trên 50% tổng số thành viên theo danh sách của </w:t>
      </w:r>
      <w:r w:rsidRPr="00941F95">
        <w:rPr>
          <w:rFonts w:eastAsia="Times New Roman"/>
          <w:sz w:val="24"/>
          <w:szCs w:val="24"/>
        </w:rPr>
        <w:lastRenderedPageBreak/>
        <w:t>hội đồng trường đồng ý. Các cuộc họp phải ghi biên bản và gửi đến cơ quan trực tiếp quản lý trường chậm nhất sau 15 ngày làm việc kể từ ngày tổ chức cuộc họp;</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Hội đồng trường được sử dụng con dấu và bộ máy tổ chức của nhà trường để triển khai các công việc của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Chủ tịch hội đồng trường được hưởng phụ cấp chức vụ tương đương hiệu trưởng; thư ký hội đồng trường được hưởng phụ cấp chức vụ tương đương trưởng phòng; phụ cấp cho các thành viên khác trong hội đồng trường được quy định trong quy chế tổ chức và hoạt động và quy chế tài chính nội bộ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Kinh phí hoạt động của hội đồng trường, phụ cấp chức vụ của Chủ tịch, thư ký và phụ cấp cho các thành viên (nếu có) được tính trong kinh phí hoạt động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d) Về việc ủy quyền điều hành hội đồng: Khi chủ tịch hội đồng trường không thể làm việc trong khoảng thời gian mà quy chế tổ chức và hoạt động của nhà trường đã quy định thì phải có trách nhiệm ủy quyền bằng văn bản cho một trong số các thành viên còn lại của hội đồng trường đảm nhận thay trách nhiệm của Chủ tịch hội đồng. Văn bản ủy quyền phải được gửi đến cơ quan trực tiếp quản lý trường và thông báo công khai. Thời gian ủy quyền không quá 6 tháng.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3. Miễn nhiệm chủ tịch và các thành viên hội đồng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Thành viên của hội đồng trường bị miễn nhiệm nếu thuộc một trong các trường hợp sau đây: Có đề nghị bằng văn bản của cá nhân xin thôi tham gia hội đồng trường; bị hạn chế năng lực hành vi dân sự; sức khỏe không đủ khả năng đảm nhiệm công việc được giao, đã phải nghỉ làm việc để điều trị quá 6 tháng mà khả năng lao động chưa hồi phục; đang chấp hành bản án của tòa án; có trên 50% tổng số thành viên của hội đồng trường kiến nghị bằng văn bản đề nghị miễn nhiệm; mắc các vi phạm khác đã quy định tại quy chế tổ chức và hoạt động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Hội đồng trường có trách nhiệm xem xét, quyết nghị việc miễn nhiệm Chủ tịch và thành viên hội đồng trường và gửi hồ sơ đề nghị cơ quan trực tiếp quản lý trường quyết định. Hồ sơ gồm có: Tờ trình nêu rõ lý do miễn nhiệm và các văn bản, minh chứng liên quan;</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Trong thời hạn 30 ngày làm việc kể từ khi nhận đủ hồ sơ đề nghị của nhà trường, Thủ trưởng cơ quan trực tiếp quản lý trường ra quyết định miễn nhiệm; trường hợp không đồng ý, phải trả lời bằng văn bản và nêu rõ lý do.</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b/>
          <w:bCs/>
          <w:sz w:val="24"/>
          <w:szCs w:val="24"/>
        </w:rPr>
        <w:t>Điều 11. Hiệu trưởng trường đại học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Hiệu trưởng trường đại học được quy định tại Điều 20 của Luật Giáo dục đại học và một số quy định cụ thể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1. Hiệu trưởng là người điều hành tổ chức, bộ máy của trường đại học. Nếu được điều động từ cơ quan, tổ chức khác để bổ nhiệm vào chức vụ hiệu trưởng thì sau khi bổ nhiệm, hiệu trưởng phải là giảng viên cơ hữu hoặc cán bộ quản lý cơ hữu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lastRenderedPageBreak/>
        <w:t>2. Nhiệm vụ, quyền hạn của hiệu trưởng được quy định tại Khoản 3, Điều 20 của Luật Giáo dục đại học và một số nhiệm vụ và quyền hạn cụ thể sau đây:</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Xây dựng chiến lược và kế hoạch phát triển đào tạo và nghiên cứu khoa học của nhà trường trình hội đồng trường phê duyệt;</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Xây dựng quy định về: Số lượng, cơ cấu lao động, vị trí việc làm, tuyển dụng, quản lý, sử dụng, phát triển đội ngũ giảng viên, nghiên cứu viên, cán bộ quản lý, người lao động trình hội đồng trường thông qua;</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Tổ chức tuyển dụng, quản lý và sử dụng hiệu quả đội ngũ giảng viên, cán bộ quản lý, viên chức và người lao động khác theo quy định của pháp luật;</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d) Hàng năm, tổ chức đánh giá giảng viên, cán bộ quản lý, viên chức và người lao động khác;</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đ) Xem xét các ý kiến tư vấn của hội đồng khoa học và đào tạo trước khi quyết định các vấn đề đã giao cho hội đồng khoa học và đào tạo tư vấn. Trường hợp không đồng ý với nội dung tư vấn, hiệu trưởng được quyết định, chịu trách nhiệm cá nhân về quyết định và báo cáo hội đồng trường trong kỳ họp hội đồng trường gần nhất;</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e) Tổ chức thực hiện nghị quyết của hội đồng trường; trao đổi với chủ tịch hội đồng trường và thống nhất cách giải quyết theo quy định của pháp luật nếu phát hiện nghị quyết vi phạm pháp luật, ảnh hưởng đến hoạt động chung của nhà trường. Trường hợp không thống nhất được cách giải quyết thì hiệu trưởng báo cáo với cơ quan trực tiếp quản lý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3. Bổ nhiệm, miễn nhiệm hiệu trưởng: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a) Việc bổ nhiệm hiệu trưởng trường đại học được thực hiện theo quy định tại Điều 20 của Luật Giáo dục đại học và các quy định của pháp luật hiện hành. Độ tuổi bổ nhiệm nhiệm kỳ đầu của hiệu trưởng không quá 55 đối với nam; không quá 50 đối với nữ tính đến tháng thực hiện quy trình bổ nhiệm; trường hợp đặc biệt phải báo cáo Thủ tướng Chính phủ trước khi ra quyết định bổ nhiệm;</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b) Việc miễn nhiệm hiệu trưởng được thực hiện đối với một trong các trường hợp sau đây: Có đề nghị bằng văn bản của hiệu trưởng xin thôi chức vụ; bị hạn chế năng lực hành vi dân sự; sức khỏe không đủ khả năng đảm nhiệm công việc được giao, phải nghỉ làm việc để điều trị quá 6 tháng mà khả năng lao động chưa hồi phục; đang bị truy cứu trách nhiệm hình sự; sử dụng văn bằng giả hoặc văn bằng không được cơ quan có thẩm quyền công nhận; có trên 3/4 tổng số thành viên của hội đồng trường kiến nghị bằng văn bản đề nghị miễn nhiệm hoặc mắc các vi phạm khác đã quy định tại quy chế tổ chức và hoạt động của nhà trường;</w:t>
      </w:r>
    </w:p>
    <w:p w:rsidR="00941F95" w:rsidRPr="00941F95" w:rsidRDefault="00941F95" w:rsidP="00941F95">
      <w:pPr>
        <w:spacing w:before="100" w:beforeAutospacing="1" w:after="100" w:afterAutospacing="1" w:line="240" w:lineRule="auto"/>
        <w:jc w:val="both"/>
        <w:rPr>
          <w:rFonts w:eastAsia="Times New Roman"/>
          <w:sz w:val="24"/>
          <w:szCs w:val="24"/>
        </w:rPr>
      </w:pPr>
      <w:r w:rsidRPr="00941F95">
        <w:rPr>
          <w:rFonts w:eastAsia="Times New Roman"/>
          <w:sz w:val="24"/>
          <w:szCs w:val="24"/>
        </w:rPr>
        <w:t>c) Hồ sơ, thủ tục bổ nhiệm, miễn nhiệm hiệu trưởng thực h</w:t>
      </w:r>
      <w:r>
        <w:rPr>
          <w:rFonts w:eastAsia="Times New Roman"/>
          <w:sz w:val="24"/>
          <w:szCs w:val="24"/>
        </w:rPr>
        <w:t>iện theo quy định hiện hành</w:t>
      </w:r>
      <w:bookmarkStart w:id="0" w:name="_GoBack"/>
      <w:bookmarkEnd w:id="0"/>
    </w:p>
    <w:p w:rsidR="00B7682A" w:rsidRPr="00941F95" w:rsidRDefault="00B7682A" w:rsidP="00941F95"/>
    <w:sectPr w:rsidR="00B7682A" w:rsidRPr="00941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67E7"/>
    <w:multiLevelType w:val="multilevel"/>
    <w:tmpl w:val="A06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D10A5"/>
    <w:multiLevelType w:val="multilevel"/>
    <w:tmpl w:val="9B8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E60E8"/>
    <w:multiLevelType w:val="multilevel"/>
    <w:tmpl w:val="DA8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60631"/>
    <w:multiLevelType w:val="multilevel"/>
    <w:tmpl w:val="5E1C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68338C"/>
    <w:multiLevelType w:val="multilevel"/>
    <w:tmpl w:val="A31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E0"/>
    <w:rsid w:val="00032D18"/>
    <w:rsid w:val="0020525B"/>
    <w:rsid w:val="002B3B63"/>
    <w:rsid w:val="00373188"/>
    <w:rsid w:val="003F7346"/>
    <w:rsid w:val="0049379E"/>
    <w:rsid w:val="004A440D"/>
    <w:rsid w:val="00562444"/>
    <w:rsid w:val="006F1456"/>
    <w:rsid w:val="00713594"/>
    <w:rsid w:val="00791BC5"/>
    <w:rsid w:val="00792602"/>
    <w:rsid w:val="00941F95"/>
    <w:rsid w:val="00A25C7A"/>
    <w:rsid w:val="00B0032D"/>
    <w:rsid w:val="00B7682A"/>
    <w:rsid w:val="00BD5AC4"/>
    <w:rsid w:val="00D02296"/>
    <w:rsid w:val="00D46CD6"/>
    <w:rsid w:val="00E631E0"/>
    <w:rsid w:val="00E720CD"/>
    <w:rsid w:val="00E835B6"/>
    <w:rsid w:val="00F7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B556"/>
  <w15:chartTrackingRefBased/>
  <w15:docId w15:val="{EA037819-624A-4878-A0B6-DCE18CBC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6"/>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5C7A"/>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A25C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1E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631E0"/>
    <w:rPr>
      <w:b/>
      <w:bCs/>
    </w:rPr>
  </w:style>
  <w:style w:type="character" w:styleId="Emphasis">
    <w:name w:val="Emphasis"/>
    <w:basedOn w:val="DefaultParagraphFont"/>
    <w:uiPriority w:val="20"/>
    <w:qFormat/>
    <w:rsid w:val="00E720CD"/>
    <w:rPr>
      <w:i/>
      <w:iCs/>
    </w:rPr>
  </w:style>
  <w:style w:type="character" w:customStyle="1" w:styleId="Heading3Char">
    <w:name w:val="Heading 3 Char"/>
    <w:basedOn w:val="DefaultParagraphFont"/>
    <w:link w:val="Heading3"/>
    <w:uiPriority w:val="9"/>
    <w:rsid w:val="00A25C7A"/>
    <w:rPr>
      <w:rFonts w:eastAsia="Times New Roman"/>
      <w:b/>
      <w:bCs/>
      <w:sz w:val="27"/>
      <w:szCs w:val="27"/>
    </w:rPr>
  </w:style>
  <w:style w:type="character" w:customStyle="1" w:styleId="Heading4Char">
    <w:name w:val="Heading 4 Char"/>
    <w:basedOn w:val="DefaultParagraphFont"/>
    <w:link w:val="Heading4"/>
    <w:uiPriority w:val="9"/>
    <w:rsid w:val="00A25C7A"/>
    <w:rPr>
      <w:rFonts w:eastAsia="Times New Roman"/>
      <w:b/>
      <w:bCs/>
      <w:sz w:val="24"/>
      <w:szCs w:val="24"/>
    </w:rPr>
  </w:style>
  <w:style w:type="paragraph" w:customStyle="1" w:styleId="has-text-align-center">
    <w:name w:val="has-text-align-center"/>
    <w:basedOn w:val="Normal"/>
    <w:rsid w:val="00032D18"/>
    <w:pPr>
      <w:spacing w:before="100" w:beforeAutospacing="1" w:after="100" w:afterAutospacing="1" w:line="240" w:lineRule="auto"/>
    </w:pPr>
    <w:rPr>
      <w:rFonts w:eastAsia="Times New Roman"/>
      <w:sz w:val="24"/>
      <w:szCs w:val="24"/>
    </w:rPr>
  </w:style>
  <w:style w:type="paragraph" w:customStyle="1" w:styleId="msonormal0">
    <w:name w:val="msonormal"/>
    <w:basedOn w:val="Normal"/>
    <w:rsid w:val="0049379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4201">
      <w:bodyDiv w:val="1"/>
      <w:marLeft w:val="0"/>
      <w:marRight w:val="0"/>
      <w:marTop w:val="0"/>
      <w:marBottom w:val="0"/>
      <w:divBdr>
        <w:top w:val="none" w:sz="0" w:space="0" w:color="auto"/>
        <w:left w:val="none" w:sz="0" w:space="0" w:color="auto"/>
        <w:bottom w:val="none" w:sz="0" w:space="0" w:color="auto"/>
        <w:right w:val="none" w:sz="0" w:space="0" w:color="auto"/>
      </w:divBdr>
    </w:div>
    <w:div w:id="271323319">
      <w:bodyDiv w:val="1"/>
      <w:marLeft w:val="0"/>
      <w:marRight w:val="0"/>
      <w:marTop w:val="0"/>
      <w:marBottom w:val="0"/>
      <w:divBdr>
        <w:top w:val="none" w:sz="0" w:space="0" w:color="auto"/>
        <w:left w:val="none" w:sz="0" w:space="0" w:color="auto"/>
        <w:bottom w:val="none" w:sz="0" w:space="0" w:color="auto"/>
        <w:right w:val="none" w:sz="0" w:space="0" w:color="auto"/>
      </w:divBdr>
    </w:div>
    <w:div w:id="309485834">
      <w:bodyDiv w:val="1"/>
      <w:marLeft w:val="0"/>
      <w:marRight w:val="0"/>
      <w:marTop w:val="0"/>
      <w:marBottom w:val="0"/>
      <w:divBdr>
        <w:top w:val="none" w:sz="0" w:space="0" w:color="auto"/>
        <w:left w:val="none" w:sz="0" w:space="0" w:color="auto"/>
        <w:bottom w:val="none" w:sz="0" w:space="0" w:color="auto"/>
        <w:right w:val="none" w:sz="0" w:space="0" w:color="auto"/>
      </w:divBdr>
    </w:div>
    <w:div w:id="342518058">
      <w:bodyDiv w:val="1"/>
      <w:marLeft w:val="0"/>
      <w:marRight w:val="0"/>
      <w:marTop w:val="0"/>
      <w:marBottom w:val="0"/>
      <w:divBdr>
        <w:top w:val="none" w:sz="0" w:space="0" w:color="auto"/>
        <w:left w:val="none" w:sz="0" w:space="0" w:color="auto"/>
        <w:bottom w:val="none" w:sz="0" w:space="0" w:color="auto"/>
        <w:right w:val="none" w:sz="0" w:space="0" w:color="auto"/>
      </w:divBdr>
    </w:div>
    <w:div w:id="564144738">
      <w:bodyDiv w:val="1"/>
      <w:marLeft w:val="0"/>
      <w:marRight w:val="0"/>
      <w:marTop w:val="0"/>
      <w:marBottom w:val="0"/>
      <w:divBdr>
        <w:top w:val="none" w:sz="0" w:space="0" w:color="auto"/>
        <w:left w:val="none" w:sz="0" w:space="0" w:color="auto"/>
        <w:bottom w:val="none" w:sz="0" w:space="0" w:color="auto"/>
        <w:right w:val="none" w:sz="0" w:space="0" w:color="auto"/>
      </w:divBdr>
    </w:div>
    <w:div w:id="581643491">
      <w:bodyDiv w:val="1"/>
      <w:marLeft w:val="0"/>
      <w:marRight w:val="0"/>
      <w:marTop w:val="0"/>
      <w:marBottom w:val="0"/>
      <w:divBdr>
        <w:top w:val="none" w:sz="0" w:space="0" w:color="auto"/>
        <w:left w:val="none" w:sz="0" w:space="0" w:color="auto"/>
        <w:bottom w:val="none" w:sz="0" w:space="0" w:color="auto"/>
        <w:right w:val="none" w:sz="0" w:space="0" w:color="auto"/>
      </w:divBdr>
    </w:div>
    <w:div w:id="757755192">
      <w:bodyDiv w:val="1"/>
      <w:marLeft w:val="0"/>
      <w:marRight w:val="0"/>
      <w:marTop w:val="0"/>
      <w:marBottom w:val="0"/>
      <w:divBdr>
        <w:top w:val="none" w:sz="0" w:space="0" w:color="auto"/>
        <w:left w:val="none" w:sz="0" w:space="0" w:color="auto"/>
        <w:bottom w:val="none" w:sz="0" w:space="0" w:color="auto"/>
        <w:right w:val="none" w:sz="0" w:space="0" w:color="auto"/>
      </w:divBdr>
    </w:div>
    <w:div w:id="772475126">
      <w:bodyDiv w:val="1"/>
      <w:marLeft w:val="0"/>
      <w:marRight w:val="0"/>
      <w:marTop w:val="0"/>
      <w:marBottom w:val="0"/>
      <w:divBdr>
        <w:top w:val="none" w:sz="0" w:space="0" w:color="auto"/>
        <w:left w:val="none" w:sz="0" w:space="0" w:color="auto"/>
        <w:bottom w:val="none" w:sz="0" w:space="0" w:color="auto"/>
        <w:right w:val="none" w:sz="0" w:space="0" w:color="auto"/>
      </w:divBdr>
    </w:div>
    <w:div w:id="885917623">
      <w:bodyDiv w:val="1"/>
      <w:marLeft w:val="0"/>
      <w:marRight w:val="0"/>
      <w:marTop w:val="0"/>
      <w:marBottom w:val="0"/>
      <w:divBdr>
        <w:top w:val="none" w:sz="0" w:space="0" w:color="auto"/>
        <w:left w:val="none" w:sz="0" w:space="0" w:color="auto"/>
        <w:bottom w:val="none" w:sz="0" w:space="0" w:color="auto"/>
        <w:right w:val="none" w:sz="0" w:space="0" w:color="auto"/>
      </w:divBdr>
    </w:div>
    <w:div w:id="992564515">
      <w:bodyDiv w:val="1"/>
      <w:marLeft w:val="0"/>
      <w:marRight w:val="0"/>
      <w:marTop w:val="0"/>
      <w:marBottom w:val="0"/>
      <w:divBdr>
        <w:top w:val="none" w:sz="0" w:space="0" w:color="auto"/>
        <w:left w:val="none" w:sz="0" w:space="0" w:color="auto"/>
        <w:bottom w:val="none" w:sz="0" w:space="0" w:color="auto"/>
        <w:right w:val="none" w:sz="0" w:space="0" w:color="auto"/>
      </w:divBdr>
    </w:div>
    <w:div w:id="1165852083">
      <w:bodyDiv w:val="1"/>
      <w:marLeft w:val="0"/>
      <w:marRight w:val="0"/>
      <w:marTop w:val="0"/>
      <w:marBottom w:val="0"/>
      <w:divBdr>
        <w:top w:val="none" w:sz="0" w:space="0" w:color="auto"/>
        <w:left w:val="none" w:sz="0" w:space="0" w:color="auto"/>
        <w:bottom w:val="none" w:sz="0" w:space="0" w:color="auto"/>
        <w:right w:val="none" w:sz="0" w:space="0" w:color="auto"/>
      </w:divBdr>
    </w:div>
    <w:div w:id="1184590011">
      <w:bodyDiv w:val="1"/>
      <w:marLeft w:val="0"/>
      <w:marRight w:val="0"/>
      <w:marTop w:val="0"/>
      <w:marBottom w:val="0"/>
      <w:divBdr>
        <w:top w:val="none" w:sz="0" w:space="0" w:color="auto"/>
        <w:left w:val="none" w:sz="0" w:space="0" w:color="auto"/>
        <w:bottom w:val="none" w:sz="0" w:space="0" w:color="auto"/>
        <w:right w:val="none" w:sz="0" w:space="0" w:color="auto"/>
      </w:divBdr>
    </w:div>
    <w:div w:id="1267494962">
      <w:bodyDiv w:val="1"/>
      <w:marLeft w:val="0"/>
      <w:marRight w:val="0"/>
      <w:marTop w:val="0"/>
      <w:marBottom w:val="0"/>
      <w:divBdr>
        <w:top w:val="none" w:sz="0" w:space="0" w:color="auto"/>
        <w:left w:val="none" w:sz="0" w:space="0" w:color="auto"/>
        <w:bottom w:val="none" w:sz="0" w:space="0" w:color="auto"/>
        <w:right w:val="none" w:sz="0" w:space="0" w:color="auto"/>
      </w:divBdr>
    </w:div>
    <w:div w:id="1277104105">
      <w:bodyDiv w:val="1"/>
      <w:marLeft w:val="0"/>
      <w:marRight w:val="0"/>
      <w:marTop w:val="0"/>
      <w:marBottom w:val="0"/>
      <w:divBdr>
        <w:top w:val="none" w:sz="0" w:space="0" w:color="auto"/>
        <w:left w:val="none" w:sz="0" w:space="0" w:color="auto"/>
        <w:bottom w:val="none" w:sz="0" w:space="0" w:color="auto"/>
        <w:right w:val="none" w:sz="0" w:space="0" w:color="auto"/>
      </w:divBdr>
    </w:div>
    <w:div w:id="1416510179">
      <w:bodyDiv w:val="1"/>
      <w:marLeft w:val="0"/>
      <w:marRight w:val="0"/>
      <w:marTop w:val="0"/>
      <w:marBottom w:val="0"/>
      <w:divBdr>
        <w:top w:val="none" w:sz="0" w:space="0" w:color="auto"/>
        <w:left w:val="none" w:sz="0" w:space="0" w:color="auto"/>
        <w:bottom w:val="none" w:sz="0" w:space="0" w:color="auto"/>
        <w:right w:val="none" w:sz="0" w:space="0" w:color="auto"/>
      </w:divBdr>
    </w:div>
    <w:div w:id="1433092145">
      <w:bodyDiv w:val="1"/>
      <w:marLeft w:val="0"/>
      <w:marRight w:val="0"/>
      <w:marTop w:val="0"/>
      <w:marBottom w:val="0"/>
      <w:divBdr>
        <w:top w:val="none" w:sz="0" w:space="0" w:color="auto"/>
        <w:left w:val="none" w:sz="0" w:space="0" w:color="auto"/>
        <w:bottom w:val="none" w:sz="0" w:space="0" w:color="auto"/>
        <w:right w:val="none" w:sz="0" w:space="0" w:color="auto"/>
      </w:divBdr>
    </w:div>
    <w:div w:id="1650209597">
      <w:bodyDiv w:val="1"/>
      <w:marLeft w:val="0"/>
      <w:marRight w:val="0"/>
      <w:marTop w:val="0"/>
      <w:marBottom w:val="0"/>
      <w:divBdr>
        <w:top w:val="none" w:sz="0" w:space="0" w:color="auto"/>
        <w:left w:val="none" w:sz="0" w:space="0" w:color="auto"/>
        <w:bottom w:val="none" w:sz="0" w:space="0" w:color="auto"/>
        <w:right w:val="none" w:sz="0" w:space="0" w:color="auto"/>
      </w:divBdr>
    </w:div>
    <w:div w:id="1687831546">
      <w:bodyDiv w:val="1"/>
      <w:marLeft w:val="0"/>
      <w:marRight w:val="0"/>
      <w:marTop w:val="0"/>
      <w:marBottom w:val="0"/>
      <w:divBdr>
        <w:top w:val="none" w:sz="0" w:space="0" w:color="auto"/>
        <w:left w:val="none" w:sz="0" w:space="0" w:color="auto"/>
        <w:bottom w:val="none" w:sz="0" w:space="0" w:color="auto"/>
        <w:right w:val="none" w:sz="0" w:space="0" w:color="auto"/>
      </w:divBdr>
    </w:div>
    <w:div w:id="1696274230">
      <w:bodyDiv w:val="1"/>
      <w:marLeft w:val="0"/>
      <w:marRight w:val="0"/>
      <w:marTop w:val="0"/>
      <w:marBottom w:val="0"/>
      <w:divBdr>
        <w:top w:val="none" w:sz="0" w:space="0" w:color="auto"/>
        <w:left w:val="none" w:sz="0" w:space="0" w:color="auto"/>
        <w:bottom w:val="none" w:sz="0" w:space="0" w:color="auto"/>
        <w:right w:val="none" w:sz="0" w:space="0" w:color="auto"/>
      </w:divBdr>
    </w:div>
    <w:div w:id="1920020657">
      <w:bodyDiv w:val="1"/>
      <w:marLeft w:val="0"/>
      <w:marRight w:val="0"/>
      <w:marTop w:val="0"/>
      <w:marBottom w:val="0"/>
      <w:divBdr>
        <w:top w:val="none" w:sz="0" w:space="0" w:color="auto"/>
        <w:left w:val="none" w:sz="0" w:space="0" w:color="auto"/>
        <w:bottom w:val="none" w:sz="0" w:space="0" w:color="auto"/>
        <w:right w:val="none" w:sz="0" w:space="0" w:color="auto"/>
      </w:divBdr>
    </w:div>
    <w:div w:id="2004238649">
      <w:bodyDiv w:val="1"/>
      <w:marLeft w:val="0"/>
      <w:marRight w:val="0"/>
      <w:marTop w:val="0"/>
      <w:marBottom w:val="0"/>
      <w:divBdr>
        <w:top w:val="none" w:sz="0" w:space="0" w:color="auto"/>
        <w:left w:val="none" w:sz="0" w:space="0" w:color="auto"/>
        <w:bottom w:val="none" w:sz="0" w:space="0" w:color="auto"/>
        <w:right w:val="none" w:sz="0" w:space="0" w:color="auto"/>
      </w:divBdr>
    </w:div>
    <w:div w:id="20975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3510</Words>
  <Characters>20012</Characters>
  <Application>Microsoft Office Word</Application>
  <DocSecurity>0</DocSecurity>
  <Lines>166</Lines>
  <Paragraphs>46</Paragraphs>
  <ScaleCrop>false</ScaleCrop>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Hải Linh</dc:creator>
  <cp:keywords/>
  <dc:description/>
  <cp:lastModifiedBy>Mai Hải Linh</cp:lastModifiedBy>
  <cp:revision>44</cp:revision>
  <dcterms:created xsi:type="dcterms:W3CDTF">2023-04-10T05:26:00Z</dcterms:created>
  <dcterms:modified xsi:type="dcterms:W3CDTF">2023-04-26T13:15:00Z</dcterms:modified>
</cp:coreProperties>
</file>