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661C" w:rsidRPr="00FD661C" w:rsidRDefault="00FD661C" w:rsidP="00FD661C">
      <w:pPr>
        <w:spacing w:before="100" w:beforeAutospacing="1" w:after="100" w:afterAutospacing="1" w:line="240" w:lineRule="auto"/>
        <w:jc w:val="center"/>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BÁO CÁO</w:t>
      </w:r>
    </w:p>
    <w:p w:rsidR="00FD661C" w:rsidRPr="00FD661C" w:rsidRDefault="00FD661C" w:rsidP="00FD661C">
      <w:pPr>
        <w:spacing w:before="100" w:beforeAutospacing="1" w:after="100" w:afterAutospacing="1" w:line="240" w:lineRule="auto"/>
        <w:jc w:val="center"/>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tình hình công tác Tuyên giáo năm .......</w:t>
      </w:r>
    </w:p>
    <w:p w:rsidR="00FD661C" w:rsidRPr="00FD661C" w:rsidRDefault="00FD661C" w:rsidP="00FD661C">
      <w:pPr>
        <w:spacing w:before="100" w:beforeAutospacing="1" w:after="100" w:afterAutospacing="1" w:line="240" w:lineRule="auto"/>
        <w:jc w:val="center"/>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và phương hướng, nhiệm vụ năm ..........</w:t>
      </w:r>
    </w:p>
    <w:p w:rsidR="00FD661C" w:rsidRPr="00FD661C" w:rsidRDefault="00FD661C" w:rsidP="00FD661C">
      <w:pPr>
        <w:spacing w:before="100" w:beforeAutospacing="1" w:after="100" w:afterAutospacing="1" w:line="240" w:lineRule="auto"/>
        <w:jc w:val="center"/>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_______</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I. TÌNH HÌNH TƯ TƯỞNG, TÂM TRẠNG XÃ HỘI</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1- Những thuận lợi cơ bản tác động tích cực đến tình hình tư tưởng và công tác tuyên giáo</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Tình hình tư tưởng trong Đảng bộ và nhân dân cơ bản ổn định, phấn khởi với tốc độ tăng trưởng kinh tế của huyện vẫn duy trì ở mức cao; quốc phòng, an ninh, trật tự an toàn xã hội được giữ vững; các lĩnh vực giáo dục, y tế, văn hóa, thể thao, khoa học, công nghệ và môi trường tiếp tục có bước phát triển; cải cách thủ tục hành chính và công tác phòng, chống tham nhũng, lãng phí được chỉ đạo sát sao; Công tác giảm nghèo, đào tạo nghề, giải quyết việc làm được cấp ủy, chính quyền các cấp quan tâm đúng mức; Đời sống chính trị, văn hóa, tinh thần của nhân dân có chuyển biến rõ rệt.</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Dư luận đồng tình, đánh giá cao việc cấp ủy Đảng, chính quyền các cấp chăm lo cho các gia đình chính sách, hộ nghèo, tổ chức nhiều đoàn đến thăm, chúc Tết các đồng chí nguyên lãnh đạo tỉnh, huyện. thông qua công việc. Sân khấu; tổ chức các hoạt động chào mừng ... ngày thành lập Đảng Cộng sản Việt Nam; mừng Đảng quang vinh, mừng Tết Nguyên đán; Kỷ niệm 5 năm ngày giải phóng miền Nam, thống nhất đất nước (30/4/1975 - 30/4/.......).</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2- Những khó khăn chính tác động đến tình hình tư tưởng, tâm trạng xã hội và công tác tuyên giáo</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Tuy nhiên, do thời tiết diễn biến bất thường, biến đổi khí hậu, dịch bệnh phát sinh; giá cả thị trường luôn biến động; nhất là giá cả các mặt hàng tiêu dùng, nông sản bấp bênh, hàng giả, hàng kém chất lượng tràn lan trên thị trường, ảnh hưởng đến đời sống nhân dân; Người dân không yên tâm sản xuất. vệ sinh môi trường, vệ sinh an toàn thực phẩm chưa đảm bảo; tình hình an ninh chính trị, trật tự an toàn xã hội, tệ nạn xã hội, nhất là tội phạm hình sự, tệ nạn cờ bạc, đá gà, cờ bạc, trộm cắp; Tranh chấp, khiếu kiện trong nông dân, trật tự an toàn giao thông, tranh chấp biển, đảo còn xảy ra ảnh hưởng đến tâm lý tư tưởng, bức xúc của nhân dân.</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II. KẾT QUẢ CÔNG TÁC TUYÊN GIÁO</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1- Công tác tham mưu, đề xuất với cấp ủy</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Tham mưu, giúp Ban Thường vụ Huyện ủy theo dõi, tổng hợp tình hình tư tưởng trong cán bộ, đảng viên, công chức, viên chức và nhân dân; kịp thời nắm bắt thông tin, dư luận xã hội để giúp cấp ủy định hướng, chỉ đạo.</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Tuy nhiên, công tác tham mưu, đề xuất với cấp ủy có lúc còn thiếu kịp thời, nhất là việc tham mưu học tập và làm theo tấm gương đạo đức Hồ Chí Minh tuy đạt nhiều kết quả nhưng chưa đáp ứng yêu cầu; Công tác đề xuất với cấp ủy về thực hiện các chủ trương, nghị quyết, chỉ thị, văn bản chỉ đạo của cấp trên có lúc còn chậm, chưa hiệu quả.</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lastRenderedPageBreak/>
        <w:t>2- Công tác tuyên truyền, giáo dục và hướng dẫn, kiểm tra, giám sát</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Tập trung tuyên truyền và tổ chức thực hiện, quán triệt các chủ trương, nghị quyết của Đảng, của cấp ủy cấp trên, nhất là việc thực hiện các Nghị quyết Hội nghị lần thứ sáu và bảy của Ban Chấp hành Trung ương Đảng bộ (khóa XII) và chuyên đề năm........ “Xây dựng phong cách làm việc, phong cách lãnh đạo, của cán bộ, đảng viên trong học tập và làm theo tư tưởng, đạo đức, phong cách Hồ Chí Minh”. Đảng ủy, phối hợp tổ chức các lớp ở cấp huyện, đồng thời hướng dẫn Đảng ủy các xã, thị trấn xây dựng kế hoạch tổ chức học tập, quán triệt và tuyên truyền trong toàn thể cán bộ, đảng viên trong toàn huyện về học tập của mình. </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Xây dựng Kế hoạch, Hướng dẫn, Đề cương, tổ chức tuyên truyền kỷ niệm các ngày lễ lớn, các sự kiện chính trị quan trọng trong năm........ .</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Cùng với công tác tuyên truyền, Ban Tuyên giáo đã triển khai kế hoạch kiểm tra của Thành ủy năm.......: kiểm tra việc thực hiện Nghị quyết số 29-NQ/TW, ngày 04/11/2013 của Bộ Chính trị; Kế hoạch hành động số 47-CTr/TU, ngày 10/02/2014 của Tỉnh ủy; Kế hoạch số 91-KH/HU, ngày 19/02/2014 của Huyện ủy “về đổi mới căn bản, toàn diện giáo dục và đào tạo đáp ứng yêu cầu công nghiệp hóa, hiện đại hóa trong điều kiện kinh tế thị trường định hướng xã hội chủ nghĩa và hội nhập quốc tế ”;</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Ban Tuyên giáo Huyện ủy thành lập Tổ kiểm tra kết quả viết bài thu hoạch việc thực hiện các Nghị quyết Hội nghị lần thứ 6 Ban Chấp hành Trung ương Đảng (khóa XII); 01 cuộc kiểm tra kết quả viết tiểu luận về thực hiện các Nghị quyết Hội nghị lần thứ 7 Ban Chấp hành Trung ương Đảng (khóa XII) và những tấm gương Bác Hồ dạy.</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Tuy nhiên, công tác tuyên truyền vẫn còn một số hạn chế, nhất là việc tuyên truyền các chủ trương, nghị quyết chưa sâu rộng trong nhân dân, hình thức tuyên truyền chưa đổi mới; Công tác hướng dẫn, kiểm tra, giám sát chưa thường xuyên.</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3- Công tác thẩm định, thẩm tra các đề án, văn bản của các cơ quan Đảng, Nhà nước, Mặt trận Tổ quốc, các đoàn thể chính trị - xã hội và các xã, thị trấn</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Thẩm định, thẩm tra các đề án, văn bản liên quan đến lĩnh vực tư tưởng - văn hóa, khoa giáo, lịch sử của đảng bộ, cơ quan, đơn vị thuộc huyện trước khi trình ban thường vụ, thường trực cấp ủy Đảng bộ huyện luôn được Ban Giám đốc quan tâm, chỉ đạo.  Trong năm, lãnh đạo Ban tham gia thẩm định các kế hoạch, chương trình hành động của cấp ủy thực hiện các chỉ thị, nghị quyết của Trung ương, của tỉnh; Nghị quyết chuyên đề của cấp ủy.</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4- Công tác phối hợp</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Công tác phối hợp giữa Ban Tuyên giáo Huyện ủy với các cơ quan quản lý Nhà nước cùng cấp, các ngành trong ngành giáo dục được thực hiện khá tốt. Đặc biệt là tuyên truyền các văn bản quy phạm pháp luật, luật mới ban hành, tuyên truyền kỷ niệm các ngày lễ lớn, kế hoạch phát triển kinh tế - xã hội, phong trào thi đua yêu nước của UBND huyện hàng năm.... trên địa bàn.</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Tuy nhiên, sự phối hợp của các ngành, Huyện ủy, cơ quan quản lý Nhà nước cùng cấp, Mặt trận Tổ quốc, các đoàn thể chính trị - xã hội, các xã, thị trấn có lúc thiếu hiệu quả.</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5- Thực hiện một số nhiệm vụ do cấp ủy giao</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i/>
          <w:iCs/>
          <w:sz w:val="24"/>
          <w:szCs w:val="24"/>
          <w:lang w:eastAsia="zh-CN"/>
        </w:rPr>
        <w:lastRenderedPageBreak/>
        <w:t>5.1- Hoạt động báo cáo viên, dư luận viên</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Xác định tổ chức mạng lưới và nội dung hoạt động của đội ngũ báo cáo viên, dư luận viên, tuyên truyền viên là lực lượng quan trọng trong công tác tư tưởng của Đảng. Hàng tháng, Ban Tuyên giáo tổ chức giao ban luân phiên tại các xã, thị trấn để thông tin, tuyên truyền các vấn đề thời sự; nắm bắt tình hình dư luận xã hội, qua đó cung cấp nhiều thông tin hữu ích nhằm định hướng dư luận, tạo niềm tin cho cán bộ, đảng viên và nhân dân. Nhiều tài liệu thông tin, tuyên truyền được phổ biến rộng rãi trong đội ngũ báo cáo viên, tuyên truyền viên của huyện nhằm tạo sự thống nhất về tư tưởng trong Đảng, sự đồng thuận của nhân dân.</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Đội ngũ báo cáo viên, dư luận viên, tuyên truyền miệng luôn được cấp ủy Đảng các cấp quan tâm, kiện toàn. Chất lượng hoạt động ngày càng đi vào chiều sâu, thực sự là cầu nối giữa Đảng với nhân dân; chuyển tải kịp thời những thông tin chính thống, phong phú trên nhiều lĩnh vực, vừa có tính thời sự, vừa có tính định hướng chính trị.</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i/>
          <w:iCs/>
          <w:sz w:val="24"/>
          <w:szCs w:val="24"/>
          <w:lang w:eastAsia="zh-CN"/>
        </w:rPr>
        <w:t>5.2-</w:t>
      </w:r>
      <w:r w:rsidRPr="00FD661C">
        <w:rPr>
          <w:rFonts w:ascii="Times New Roman" w:eastAsia="Times New Roman" w:hAnsi="Times New Roman" w:cs="Times New Roman"/>
          <w:sz w:val="24"/>
          <w:szCs w:val="24"/>
          <w:lang w:eastAsia="zh-CN"/>
        </w:rPr>
        <w:t> </w:t>
      </w:r>
      <w:r w:rsidRPr="00FD661C">
        <w:rPr>
          <w:rFonts w:ascii="Times New Roman" w:eastAsia="Times New Roman" w:hAnsi="Times New Roman" w:cs="Times New Roman"/>
          <w:b/>
          <w:bCs/>
          <w:i/>
          <w:iCs/>
          <w:sz w:val="24"/>
          <w:szCs w:val="24"/>
          <w:lang w:eastAsia="zh-CN"/>
        </w:rPr>
        <w:t>Định hướng hoạt động cơ quan văn hóa và thông tin đại chúng</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Ban chủ trì, phối hợp với các ban Đảng của Huyện ủy định hướng, hướng dẫn, kiểm tra, giám sát công tác chính trị tư tưởng trong hoạt động của các cơ quan văn hóa, cơ quan thông tin đại chúng trên địa bàn. Qua đó định hướng nội dung hoạt động cho các cơ quan này; đảm bảo hoạt động đúng định hướng, đường lối, chủ trương, nghị quyết của Đảng, chính sách, pháp luật của Nhà nước.</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Tuy nhiên, công tác chỉ đạo, định hướng, hướng dẫn, kiểm tra, giám sát về chính trị tư tưởng trong hoạt động của các cơ quan văn hóa, cơ quan thông tin đại chúng đôi khi còn thiếu thường xuyên và chất lượng. Số lượng danh mục không phải lúc nào cũng tốt dấu ấn văn hóa chưa đảm bảo so với yêu cầu; còn cấp ủy đảng, chính quyền xem nhẹ, thiếu quan tâm chỉ đạo, tổ chức thực hiện.</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i/>
          <w:iCs/>
          <w:sz w:val="24"/>
          <w:szCs w:val="24"/>
          <w:lang w:eastAsia="zh-CN"/>
        </w:rPr>
        <w:t>5.3- Công tác giáo dục lý luận chính trị</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Ban Tuyên giáo huyện thường xuyên phối hợp với Trung tâm Bồi dưỡng chính trị huyện thực hiện tốt nội dung, chương trình bồi dưỡng ở cấp huyện theo hướng dẫn của Ban Tuyên giáo Trung ương, Ban Tuyên giáo Tỉnh ủy. Phối hợp có hiệu quả với Trung tâm Bồi dưỡng chính trị huyện, Ban Tổ chức Huyện ủy và các phòng, ban, ngành cấp huyện mở các lớp bồi dưỡng lý luận chính trị - hành chính, nghiệp vụ cho các đối tượng.</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Nhìn chung, công tác đào tạo, bồi dưỡng đội ngũ cán bộ, đảng viên của huyện....... luôn được quan tâm chỉ đạo. Trung tâm bồi dưỡng chính trị huyện tổ chức và duy trì các lớp đáp ứng yêu cầu, nhiệm vụ chính trị được giao.</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i/>
          <w:iCs/>
          <w:sz w:val="24"/>
          <w:szCs w:val="24"/>
          <w:lang w:eastAsia="zh-CN"/>
        </w:rPr>
        <w:t>5.4- Công tác báo chí</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Tham mưu, giúp Huyện ủy chỉ đạo các chi, Đảng bộ tiếp tục đặt mua, đọc báo, tạp chí của Đảng theo quy định và phát hành 2 bản tin Thông tin nội bộ và Tổ nhân dân tự quản để kịp thời đi vào hoạt động.</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Đài truyền thanh huyện tập trung tuyên truyền các Chỉ thị, Nghị quyết của Đảng, chính sách, pháp luật của Nhà nước; nhiệm vụ chính trị trọng tâm của huyện.</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Tuy nhiên, việc đăng tải báo chí, bản tin nội bộ, tổ chức tự quản có lúc còn thiếu kịp thời, dẫn đến việc nắm bắt thông tin ở một số chi, đảng bộ chậm so với yêu cầu.</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i/>
          <w:iCs/>
          <w:sz w:val="24"/>
          <w:szCs w:val="24"/>
          <w:lang w:eastAsia="zh-CN"/>
        </w:rPr>
        <w:lastRenderedPageBreak/>
        <w:t>5.5-</w:t>
      </w:r>
      <w:r w:rsidRPr="00FD661C">
        <w:rPr>
          <w:rFonts w:ascii="Times New Roman" w:eastAsia="Times New Roman" w:hAnsi="Times New Roman" w:cs="Times New Roman"/>
          <w:sz w:val="24"/>
          <w:szCs w:val="24"/>
          <w:lang w:eastAsia="zh-CN"/>
        </w:rPr>
        <w:t> </w:t>
      </w:r>
      <w:r w:rsidRPr="00FD661C">
        <w:rPr>
          <w:rFonts w:ascii="Times New Roman" w:eastAsia="Times New Roman" w:hAnsi="Times New Roman" w:cs="Times New Roman"/>
          <w:b/>
          <w:bCs/>
          <w:i/>
          <w:iCs/>
          <w:sz w:val="24"/>
          <w:szCs w:val="24"/>
          <w:lang w:eastAsia="zh-CN"/>
        </w:rPr>
        <w:t>Công tác lịch sử truyền thống</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Thực hiện Chỉ thị 15-CT/TW, ngày 28-8-2002 của Ban Bí thư Trung ương khóa IX về “Tăng cường và nâng cao chất lượng nghiên cứu, biên soạn Lịch sử Đảng Cộng sản Việt Nam”, 61-KH/BTG, ngày 4-8-2002 năm 2014 của Ban Tuyên giáo Tỉnh ủy về công tác sưu tầm tư liệu lịch sử Đảng bộ các huyện, thị xã, thành phố và xã anh hùng LLVT nhân dân. Ban Tuyên giáo đã có nhiều cố gắng sưu tầm, biên soạn lịch sử Đảng bộ huyện, xã anh hùng lực lượng vũ trang nhân dân giai đoạn 1975-2015. Đến nay, việc sưu tầm tư liệu lịch sử và đề cương Đảng bộ huyện giai đoạn 1975-2015 đã hoàn thành. Tiếp tục nghiên cứu, biên soạn tài liệu giáo dục về lịch sử địa phương đưa vào giảng dạy trong các trường THPT, THCS trên địa bàn và lịch sử truyền thống các xã anh hùng lực lượng vũ trang nhân dân. </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Tuy nhiên, công tác lịch sử Đảng gặp không ít khó khăn, nhất là công tác sưu tầm tư liệu, hồ sơ, tài liệu qua các kỳ đại hội Đảng từ năm 1975 đến nay.</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i/>
          <w:iCs/>
          <w:sz w:val="24"/>
          <w:szCs w:val="24"/>
          <w:lang w:eastAsia="zh-CN"/>
        </w:rPr>
        <w:t>5.6- Công tác khoa giáo</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Ban Tuyên giáo Huyện ủy tích cực phối hợp với các ban, ngành trong khối học thuật chủ động nắm bắt việc thực hiện các Chỉ thị, Nghị quyết, Kết luận của đồng chí Trương Cường về công tác học thuật, để kịp thời tham gia học tập tham mưu cho Huyện ủy lãnh đạo, chỉ đạo.</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Tham mưu cho Huyện ủy chỉ đạo thực hiện tốt tháng hành động vì trẻ em......., các chỉ tiêu, nhiệm vụ công tác sư phạm theo nghị quyết năm....... của Huyện ủy , bảo đảm đúng đường lối, quan điểm của Đảng. Qua đó, đạt được một số kết quả trên các lĩnh vực như: giáo dục và đào tạo; bảo vệ, chăm sóc và nâng cao sức khỏe nhân dân; dân số, kế hoạch hóa gia đình; các môn thể thao; dạy nghề, giải quyết việc làm; bảo vệ, chăm sóc và giáo dục trẻ em; khoa học và Công nghệ; bảo vệ môi trường... có nhiều chuyển biến tích cực, góp phần phát triển kinh tế - xã hội của huyện.</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Tuy nhiên, hoạt động của các ngành trong khối khoa giáo còn một số hạn chế, nhất là công tác sơ kết, tổng kết các Chỉ thị, Nghị quyết thuộc lĩnh vực khoa giáo, quản lý nhà nước về văn hóa - nghệ thuật, thể dục thể thao - Công tác thể dục thể thao, bảo vệ môi trường, vệ sinh an toàn thực phẩm chưa đạt yêu cầu, kế hoạch đề ra.</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i/>
          <w:iCs/>
          <w:sz w:val="24"/>
          <w:szCs w:val="24"/>
          <w:lang w:eastAsia="zh-CN"/>
        </w:rPr>
        <w:t>5.7- Tiếp tục đẩy mạnh việc học tập và làm theo tư tưởng, đạo đức, phong cách Hồ</w:t>
      </w:r>
      <w:r w:rsidRPr="00FD661C">
        <w:rPr>
          <w:rFonts w:ascii="Times New Roman" w:eastAsia="Times New Roman" w:hAnsi="Times New Roman" w:cs="Times New Roman"/>
          <w:sz w:val="24"/>
          <w:szCs w:val="24"/>
          <w:lang w:eastAsia="zh-CN"/>
        </w:rPr>
        <w:t> </w:t>
      </w:r>
      <w:r w:rsidRPr="00FD661C">
        <w:rPr>
          <w:rFonts w:ascii="Times New Roman" w:eastAsia="Times New Roman" w:hAnsi="Times New Roman" w:cs="Times New Roman"/>
          <w:b/>
          <w:bCs/>
          <w:i/>
          <w:iCs/>
          <w:sz w:val="24"/>
          <w:szCs w:val="24"/>
          <w:lang w:eastAsia="zh-CN"/>
        </w:rPr>
        <w:t>Chí Minh theo tinh thần Chỉ thị 05-CT/TW của Bộ Chính trị</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Nhìn chung, cấp ủy Đảng các cấp, từ huyện đến cơ sở rất quan tâm lãnh đạo, chỉ đạo thực hiện Chỉ thị số 05-CT/TW, ngày 15-5-2016 của Bộ Chính trị về “đẩy mạnh học tập và làm theo lời Bác”. . Chính phủ "Tư tưởng Đảng Cộng sản Trung Quốc". Đảng Việt Nam". Đạo đức, phong cách Hồ Chí Minh" và Chủ đề........ "Xây dựng phong cách công tác, lề lối làm việc của người lãnh đạo, cán bộ, đảng viên trong học tập và làm theo tư tưởng, đạo đức, phong cách Hồ Chí Minh " dưới sự chỉ đạo của cấp trên.</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Tuy nhiên, vẫn còn một số đơn vị, cá nhân trong việc xây dựng kế hoạch và đăng ký làm theo chưa cụ thể, thiết thực. Trong sinh hoạt chi bộ, có nơi ít kiểm điểm việc học tập và làm theo Bác; Một số chi, đảng bộ thiếu quan tâm kiểm tra, nhắc nhở, chấn chỉnh kịp thời. Chưa có nhiều mô hình, cách làm đổi mới, hiệu quả qua học tập và làm theo tấm gương đạo đức, phong cách Hồ Chí Minh.</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III. NHẬN XÉT, ĐÁNH GIÁ</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1- Về ưu điểm</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lastRenderedPageBreak/>
        <w:t>Đạt được kết quả trên trước hết là do có sự quan tâm, chỉ đạo sát sao của Ban Tuyên giáo Tỉnh ủy, Thường trực Huyện ủy, sự phối hợp chặt chẽ giữa Ban Tuyên giáo với các ban, ngành, đoàn thể. từ huyện đến cơ sở là sự đoàn kết nỗ lực của từng cán bộ, đảng viên, công chức trong ngành. Ban Tuyên giáo Huyện ủy đã bám sát nội dung, chỉ đạo của Huyện ủy, Ban Tuyên giáo Tỉnh ủy. Kịp thời cụ thể hóa các chủ trương, chỉ thị, nghị quyết của cấp trên vào nhiệm vụ chính trị của Đảng bộ, chi bộ; tham mưu giúp cấp ủy triển khai kịp thời các chủ trương, nghị quyết của Đảng, chính sách, pháp luật của Nhà nước đến cán bộ, đảng viên và nhân dân; giúp Huyện ủy lãnh đạo, chỉ đạo ổn định tình hình tư tưởng, tạo sự đồng thuận của toàn xã hội trong việc hoàn thành các mục tiêu, nhiệm vụ phát triển kinh tế - xã hội, giữ vững an ninh chính trị, trật tự an toàn xã hội trên địa bàn; kịp thời đấu tranh phản bác các quan điểm, luận điệu xuyên tạc làm ảnh hưởng đến uy tín của Đảng, Nhà nước, cán bộ và nhân dân; tạo niềm tin vững chắc của nhân dân vào sự lãnh đạo của các cấp ủy Đảng, chính quyền từ huyện đến cơ sở.</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b/>
          <w:bCs/>
          <w:sz w:val="24"/>
          <w:szCs w:val="24"/>
          <w:lang w:eastAsia="zh-CN"/>
        </w:rPr>
        <w:t>2- Về khuyết điểm, hạn chế</w:t>
      </w:r>
    </w:p>
    <w:p w:rsidR="00FD661C" w:rsidRPr="00FD661C" w:rsidRDefault="00FD661C" w:rsidP="00FD661C">
      <w:pPr>
        <w:spacing w:before="100" w:beforeAutospacing="1" w:after="100" w:afterAutospacing="1" w:line="240" w:lineRule="auto"/>
        <w:jc w:val="both"/>
        <w:rPr>
          <w:rFonts w:ascii="Times New Roman" w:eastAsia="Times New Roman" w:hAnsi="Times New Roman" w:cs="Times New Roman"/>
          <w:sz w:val="24"/>
          <w:szCs w:val="24"/>
          <w:lang w:eastAsia="zh-CN"/>
        </w:rPr>
      </w:pPr>
      <w:r w:rsidRPr="00FD661C">
        <w:rPr>
          <w:rFonts w:ascii="Times New Roman" w:eastAsia="Times New Roman" w:hAnsi="Times New Roman" w:cs="Times New Roman"/>
          <w:sz w:val="24"/>
          <w:szCs w:val="24"/>
          <w:lang w:eastAsia="zh-CN"/>
        </w:rPr>
        <w:t>Tuy nhiên, bên cạnh những kết quả đạt được trên thực tế cũng còn những hạn chế, yếu kém, đó là: Việc nắm bắt thông tin, tình hình tư tưởng, tâm trạng, dư luận xã hội còn thiếu kịp thời; việc tham gia giải quyết các vấn đề tư tưởng, nổi cộm của nhân dân còn chậm. Công tác thông tin, tuyên truyền chủ trương, nghị quyết của Đảng, chính sách, pháp luật của Nhà nước, phản biện xã hội chưa đi vào chiều sâu; đội ngũ báo cáo viên, dư luận viên, tuyên truyền viên từ huyện đến cơ sở được phát huy nhưng chưa đáp ứng yêu cầu; Việc tổ chức hoạt động và sử dụng bản tin trong tổ nhân dân tự quản hiệu quả chưa cao, chưa thường xuyên; sự phối hợp của các ngành liên quan trong khối chưa chặt chẽ; Đội ngũ cán bộ làm công tác tuyên giáo ở cơ sở thường xuyên thay đổi, hạn chế về chuyên môn, nghiệp vụ.</w:t>
      </w:r>
    </w:p>
    <w:p w:rsidR="00A97AD1" w:rsidRPr="00FD661C" w:rsidRDefault="00A97AD1" w:rsidP="00FD661C">
      <w:bookmarkStart w:id="0" w:name="_GoBack"/>
      <w:bookmarkEnd w:id="0"/>
    </w:p>
    <w:sectPr w:rsidR="00A97AD1" w:rsidRPr="00FD661C" w:rsidSect="00504FFE">
      <w:footerReference w:type="default" r:id="rId7"/>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522" w:rsidRDefault="00AB3522">
      <w:pPr>
        <w:spacing w:after="0" w:line="240" w:lineRule="auto"/>
      </w:pPr>
      <w:r>
        <w:separator/>
      </w:r>
    </w:p>
  </w:endnote>
  <w:endnote w:type="continuationSeparator" w:id="0">
    <w:p w:rsidR="00AB3522" w:rsidRDefault="00AB35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AD1" w:rsidRDefault="00083007">
    <w:pPr>
      <w:pStyle w:val="Footer"/>
      <w:jc w:val="center"/>
    </w:pPr>
    <w:r>
      <w:fldChar w:fldCharType="begin"/>
    </w:r>
    <w:r>
      <w:instrText xml:space="preserve"> PAGE   \* MERGEFORMAT </w:instrText>
    </w:r>
    <w:r>
      <w:fldChar w:fldCharType="separate"/>
    </w:r>
    <w:r w:rsidR="00FD661C">
      <w:rPr>
        <w:noProof/>
      </w:rPr>
      <w:t>5</w:t>
    </w:r>
    <w:r>
      <w:rPr>
        <w:noProof/>
      </w:rPr>
      <w:fldChar w:fldCharType="end"/>
    </w:r>
  </w:p>
  <w:p w:rsidR="00A97AD1" w:rsidRDefault="00A97AD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522" w:rsidRDefault="00AB3522">
      <w:pPr>
        <w:spacing w:after="0" w:line="240" w:lineRule="auto"/>
      </w:pPr>
      <w:r>
        <w:separator/>
      </w:r>
    </w:p>
  </w:footnote>
  <w:footnote w:type="continuationSeparator" w:id="0">
    <w:p w:rsidR="00AB3522" w:rsidRDefault="00AB35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2EEC7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000002"/>
    <w:multiLevelType w:val="hybridMultilevel"/>
    <w:tmpl w:val="5A0CF6D8"/>
    <w:lvl w:ilvl="0" w:tplc="7E4227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000003"/>
    <w:multiLevelType w:val="hybridMultilevel"/>
    <w:tmpl w:val="B20CE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F75E9916"/>
    <w:lvl w:ilvl="0" w:tplc="FC90B94A">
      <w:start w:val="1"/>
      <w:numFmt w:val="upperRoman"/>
      <w:lvlText w:val="%1."/>
      <w:lvlJc w:val="left"/>
      <w:pPr>
        <w:ind w:left="1440" w:hanging="720"/>
      </w:pPr>
      <w:rPr>
        <w:rFonts w:eastAsia="Times New Roman" w:cs="Arial"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0000005"/>
    <w:multiLevelType w:val="hybridMultilevel"/>
    <w:tmpl w:val="D224356C"/>
    <w:lvl w:ilvl="0" w:tplc="38242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0881CB1"/>
    <w:multiLevelType w:val="hybridMultilevel"/>
    <w:tmpl w:val="6E121316"/>
    <w:lvl w:ilvl="0" w:tplc="119AAD92">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2"/>
  </w:num>
  <w:num w:numId="3">
    <w:abstractNumId w:val="3"/>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AD1"/>
    <w:rsid w:val="00041F62"/>
    <w:rsid w:val="00083007"/>
    <w:rsid w:val="000D2FE8"/>
    <w:rsid w:val="00355C7B"/>
    <w:rsid w:val="003E5173"/>
    <w:rsid w:val="003F682E"/>
    <w:rsid w:val="00484871"/>
    <w:rsid w:val="004A5E94"/>
    <w:rsid w:val="00504FFE"/>
    <w:rsid w:val="0069431A"/>
    <w:rsid w:val="0076070A"/>
    <w:rsid w:val="008D5005"/>
    <w:rsid w:val="009240EE"/>
    <w:rsid w:val="009501D4"/>
    <w:rsid w:val="009D470C"/>
    <w:rsid w:val="00A97AD1"/>
    <w:rsid w:val="00AB3522"/>
    <w:rsid w:val="00C54DE4"/>
    <w:rsid w:val="00E349FE"/>
    <w:rsid w:val="00FD3509"/>
    <w:rsid w:val="00FD6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74BDA"/>
  <w15:docId w15:val="{619CDEE7-5263-479C-879B-3D95D10B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pPr>
      <w:ind w:left="720"/>
      <w:contextualSpacing/>
    </w:pPr>
  </w:style>
  <w:style w:type="paragraph" w:customStyle="1" w:styleId="CharCharCharCharCharCharChar">
    <w:name w:val="Char Char Char Char Char Char Char"/>
    <w:pPr>
      <w:tabs>
        <w:tab w:val="left" w:pos="1152"/>
      </w:tabs>
      <w:spacing w:before="120" w:after="120" w:line="312" w:lineRule="auto"/>
    </w:pPr>
    <w:rPr>
      <w:rFonts w:ascii="Arial" w:eastAsia="Times New Roman" w:hAnsi="Arial" w:cs="Arial"/>
      <w:sz w:val="26"/>
      <w:szCs w:val="26"/>
    </w:rPr>
  </w:style>
  <w:style w:type="character" w:styleId="Hyperlink">
    <w:name w:val="Hyperlink"/>
    <w:basedOn w:val="DefaultParagraphFont"/>
    <w:rPr>
      <w:color w:val="0000FF"/>
      <w:u w:val="single"/>
    </w:rPr>
  </w:style>
  <w:style w:type="paragraph" w:styleId="FootnoteText">
    <w:name w:val="footnote text"/>
    <w:basedOn w:val="Normal"/>
    <w:link w:val="FootnoteTextChar1"/>
    <w:pPr>
      <w:spacing w:after="0" w:line="240" w:lineRule="auto"/>
    </w:pPr>
    <w:rPr>
      <w:rFonts w:ascii="Times New Roman" w:eastAsia="Times New Roman" w:hAnsi="Times New Roman" w:cs="Arial"/>
      <w:sz w:val="20"/>
      <w:szCs w:val="20"/>
    </w:rPr>
  </w:style>
  <w:style w:type="character" w:customStyle="1" w:styleId="FootnoteTextChar">
    <w:name w:val="Footnote Text Char"/>
    <w:basedOn w:val="DefaultParagraphFont"/>
    <w:uiPriority w:val="99"/>
    <w:rPr>
      <w:sz w:val="20"/>
      <w:szCs w:val="20"/>
    </w:rPr>
  </w:style>
  <w:style w:type="character" w:customStyle="1" w:styleId="FootnoteTextChar1">
    <w:name w:val="Footnote Text Char1"/>
    <w:link w:val="FootnoteText"/>
    <w:rPr>
      <w:rFonts w:ascii="Times New Roman" w:eastAsia="Times New Roman" w:hAnsi="Times New Roman" w:cs="Arial"/>
      <w:sz w:val="20"/>
      <w:szCs w:val="20"/>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uiPriority w:val="99"/>
    <w:qFormat/>
    <w:rPr>
      <w:vertAlign w:val="superscript"/>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Bodytext21">
    <w:name w:val="Body text (2)1"/>
    <w:basedOn w:val="Normal"/>
    <w:link w:val="Bodytext2"/>
    <w:pPr>
      <w:widowControl w:val="0"/>
      <w:shd w:val="clear" w:color="auto" w:fill="FFFFFF"/>
      <w:spacing w:before="60" w:after="60" w:line="240" w:lineRule="atLeast"/>
      <w:jc w:val="center"/>
    </w:pPr>
    <w:rPr>
      <w:rFonts w:ascii="Times New Roman" w:eastAsia="Times New Roman" w:hAnsi="Times New Roman" w:cs="Times New Roman"/>
      <w:sz w:val="28"/>
      <w:szCs w:val="28"/>
    </w:rPr>
  </w:style>
  <w:style w:type="character" w:customStyle="1" w:styleId="Bodytext2">
    <w:name w:val="Body text (2)_"/>
    <w:link w:val="Bodytext21"/>
    <w:rPr>
      <w:rFonts w:ascii="Times New Roman" w:eastAsia="Times New Roman" w:hAnsi="Times New Roman" w:cs="Times New Roman"/>
      <w:sz w:val="28"/>
      <w:szCs w:val="28"/>
      <w:shd w:val="clear" w:color="auto" w:fill="FFFFFF"/>
      <w:lang w:val="en-US" w:eastAsia="en-US"/>
    </w:rPr>
  </w:style>
  <w:style w:type="paragraph" w:customStyle="1" w:styleId="CharChar4">
    <w:name w:val="Char Char4"/>
    <w:basedOn w:val="Normal"/>
    <w:pPr>
      <w:spacing w:line="240" w:lineRule="exact"/>
    </w:pPr>
    <w:rPr>
      <w:rFonts w:ascii="Times New Roman" w:eastAsia="Times New Roman" w:hAnsi="Times New Roman" w:cs="Times New Roman"/>
      <w:sz w:val="20"/>
      <w:szCs w:val="20"/>
    </w:rPr>
  </w:style>
  <w:style w:type="character" w:styleId="PageNumber">
    <w:name w:val="page number"/>
    <w:basedOn w:val="DefaultParagraphFont"/>
  </w:style>
  <w:style w:type="paragraph" w:customStyle="1" w:styleId="1Char">
    <w:name w:val="1 Char"/>
    <w:basedOn w:val="DocumentMap"/>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iPriority w:val="9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Pr>
      <w:rFonts w:ascii="Segoe UI" w:hAnsi="Segoe UI" w:cs="Segoe UI"/>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styleId="Strong">
    <w:name w:val="Strong"/>
    <w:basedOn w:val="DefaultParagraphFont"/>
    <w:uiPriority w:val="22"/>
    <w:qFormat/>
    <w:rsid w:val="00FD661C"/>
    <w:rPr>
      <w:b/>
      <w:bCs/>
    </w:rPr>
  </w:style>
  <w:style w:type="character" w:styleId="Emphasis">
    <w:name w:val="Emphasis"/>
    <w:basedOn w:val="DefaultParagraphFont"/>
    <w:uiPriority w:val="20"/>
    <w:qFormat/>
    <w:rsid w:val="00FD66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7522566">
      <w:bodyDiv w:val="1"/>
      <w:marLeft w:val="0"/>
      <w:marRight w:val="0"/>
      <w:marTop w:val="0"/>
      <w:marBottom w:val="0"/>
      <w:divBdr>
        <w:top w:val="none" w:sz="0" w:space="0" w:color="auto"/>
        <w:left w:val="none" w:sz="0" w:space="0" w:color="auto"/>
        <w:bottom w:val="none" w:sz="0" w:space="0" w:color="auto"/>
        <w:right w:val="none" w:sz="0" w:space="0" w:color="auto"/>
      </w:divBdr>
    </w:div>
    <w:div w:id="721830908">
      <w:bodyDiv w:val="1"/>
      <w:marLeft w:val="0"/>
      <w:marRight w:val="0"/>
      <w:marTop w:val="0"/>
      <w:marBottom w:val="0"/>
      <w:divBdr>
        <w:top w:val="none" w:sz="0" w:space="0" w:color="auto"/>
        <w:left w:val="none" w:sz="0" w:space="0" w:color="auto"/>
        <w:bottom w:val="none" w:sz="0" w:space="0" w:color="auto"/>
        <w:right w:val="none" w:sz="0" w:space="0" w:color="auto"/>
      </w:divBdr>
    </w:div>
    <w:div w:id="1348556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2064</Words>
  <Characters>11769</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QUOC THANG</dc:creator>
  <cp:lastModifiedBy>Mai Hải Linh</cp:lastModifiedBy>
  <cp:revision>8</cp:revision>
  <cp:lastPrinted>2021-10-14T08:59:00Z</cp:lastPrinted>
  <dcterms:created xsi:type="dcterms:W3CDTF">2021-10-18T02:45:00Z</dcterms:created>
  <dcterms:modified xsi:type="dcterms:W3CDTF">2023-04-24T15:23:00Z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c0a0279bb1c54c9fbc98dcb827f17949</vt:lpwstr>
  </property>
</Properties>
</file>