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B8" w:rsidRDefault="00072FB8" w:rsidP="00072FB8">
      <w:pPr>
        <w:pStyle w:val="NormalWeb"/>
        <w:jc w:val="center"/>
      </w:pPr>
      <w:r>
        <w:rPr>
          <w:rStyle w:val="Strong"/>
        </w:rPr>
        <w:t>QUY CHẾ </w:t>
      </w:r>
    </w:p>
    <w:p w:rsidR="00072FB8" w:rsidRDefault="00072FB8" w:rsidP="00072FB8">
      <w:pPr>
        <w:pStyle w:val="NormalWeb"/>
        <w:jc w:val="center"/>
      </w:pPr>
      <w:proofErr w:type="spellStart"/>
      <w:r>
        <w:rPr>
          <w:rStyle w:val="Strong"/>
        </w:rPr>
        <w:t>Bốc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bố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định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cư</w:t>
      </w:r>
      <w:proofErr w:type="spellEnd"/>
    </w:p>
    <w:p w:rsidR="00072FB8" w:rsidRDefault="00072FB8" w:rsidP="00072FB8">
      <w:pPr>
        <w:pStyle w:val="NormalWeb"/>
        <w:jc w:val="both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Số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lượng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địa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điểm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đất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định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cư</w:t>
      </w:r>
      <w:proofErr w:type="spellEnd"/>
      <w:r>
        <w:rPr>
          <w:rStyle w:val="Strong"/>
        </w:rPr>
        <w:t>: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: … </w:t>
      </w:r>
      <w:proofErr w:type="spellStart"/>
      <w:r>
        <w:t>hộ</w:t>
      </w:r>
      <w:proofErr w:type="spellEnd"/>
      <w:r>
        <w:t>;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: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</w:t>
      </w:r>
      <w:proofErr w:type="spellEnd"/>
      <w:r>
        <w:t>/</w:t>
      </w:r>
      <w:proofErr w:type="spellStart"/>
      <w:r>
        <w:t>tổ</w:t>
      </w:r>
      <w:proofErr w:type="spellEnd"/>
      <w:r>
        <w:t xml:space="preserve">…,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…, </w:t>
      </w:r>
      <w:proofErr w:type="spellStart"/>
      <w:r>
        <w:t>quận</w:t>
      </w:r>
      <w:proofErr w:type="spellEnd"/>
      <w:r>
        <w:t>/</w:t>
      </w:r>
      <w:proofErr w:type="spellStart"/>
      <w:r>
        <w:t>huyện</w:t>
      </w:r>
      <w:proofErr w:type="spellEnd"/>
      <w:r>
        <w:t xml:space="preserve">….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…. </w:t>
      </w:r>
      <w:proofErr w:type="spellStart"/>
      <w:r>
        <w:t>tỉnh</w:t>
      </w:r>
      <w:proofErr w:type="spellEnd"/>
      <w:r>
        <w:t>…. </w:t>
      </w:r>
    </w:p>
    <w:p w:rsidR="00072FB8" w:rsidRDefault="00072FB8" w:rsidP="00072FB8">
      <w:pPr>
        <w:pStyle w:val="NormalWeb"/>
        <w:jc w:val="both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Nguyên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tắc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bốc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đất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định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cư</w:t>
      </w:r>
      <w:proofErr w:type="spellEnd"/>
      <w:r>
        <w:rPr>
          <w:rStyle w:val="Strong"/>
        </w:rPr>
        <w:t>: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minh </w:t>
      </w:r>
      <w:proofErr w:type="spellStart"/>
      <w:r>
        <w:t>bạch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;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do),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UBND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…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thay</w:t>
      </w:r>
      <w:proofErr w:type="spellEnd"/>
      <w:r>
        <w:t>.</w:t>
      </w:r>
    </w:p>
    <w:p w:rsidR="00072FB8" w:rsidRDefault="00072FB8" w:rsidP="00072FB8">
      <w:pPr>
        <w:pStyle w:val="NormalWeb"/>
        <w:jc w:val="both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Trình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bốc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đất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định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cư</w:t>
      </w:r>
      <w:proofErr w:type="spellEnd"/>
      <w:r>
        <w:rPr>
          <w:rStyle w:val="Strong"/>
        </w:rPr>
        <w:t>: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;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).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,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chia </w:t>
      </w:r>
      <w:proofErr w:type="spellStart"/>
      <w:r>
        <w:t>lô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Phiếu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bốc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thăm</w:t>
      </w:r>
      <w:proofErr w:type="spellEnd"/>
      <w:r>
        <w:rPr>
          <w:rStyle w:val="Strong"/>
        </w:rPr>
        <w:t>: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>.</w:t>
      </w:r>
    </w:p>
    <w:p w:rsidR="00072FB8" w:rsidRDefault="00072FB8" w:rsidP="00072FB8">
      <w:pPr>
        <w:pStyle w:val="NormalWeb"/>
        <w:jc w:val="both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Tổ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bốc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định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đất</w:t>
      </w:r>
      <w:proofErr w:type="spellEnd"/>
      <w:r>
        <w:rPr>
          <w:rStyle w:val="Strong"/>
        </w:rPr>
        <w:t xml:space="preserve"> ở </w:t>
      </w:r>
      <w:proofErr w:type="spellStart"/>
      <w:r>
        <w:rPr>
          <w:rStyle w:val="Strong"/>
        </w:rPr>
        <w:t>tái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định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cư</w:t>
      </w:r>
      <w:proofErr w:type="spellEnd"/>
    </w:p>
    <w:p w:rsidR="00072FB8" w:rsidRDefault="00072FB8" w:rsidP="00072FB8">
      <w:pPr>
        <w:pStyle w:val="NormalWeb"/>
        <w:jc w:val="both"/>
      </w:pPr>
      <w:r>
        <w:rPr>
          <w:rStyle w:val="Strong"/>
        </w:rPr>
        <w:t xml:space="preserve">5.1. </w:t>
      </w:r>
      <w:proofErr w:type="spellStart"/>
      <w:r>
        <w:rPr>
          <w:rStyle w:val="Strong"/>
        </w:rPr>
        <w:t>Trung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tâm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phát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triển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đất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thành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phố</w:t>
      </w:r>
      <w:proofErr w:type="spellEnd"/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,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 xml:space="preserve">…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, minh </w:t>
      </w:r>
      <w:proofErr w:type="spellStart"/>
      <w:r>
        <w:t>bạch</w:t>
      </w:r>
      <w:proofErr w:type="spellEnd"/>
      <w:r>
        <w:t>;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; </w:t>
      </w:r>
    </w:p>
    <w:p w:rsidR="00072FB8" w:rsidRDefault="00072FB8" w:rsidP="00072FB8">
      <w:pPr>
        <w:pStyle w:val="NormalWeb"/>
        <w:jc w:val="both"/>
      </w:pPr>
      <w:r>
        <w:lastRenderedPageBreak/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r>
        <w:rPr>
          <w:rStyle w:val="Strong"/>
        </w:rPr>
        <w:t xml:space="preserve">5.2.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ban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xã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phường</w:t>
      </w:r>
      <w:proofErr w:type="spellEnd"/>
      <w:r>
        <w:rPr>
          <w:rStyle w:val="Strong"/>
        </w:rPr>
        <w:t>…. </w:t>
      </w:r>
    </w:p>
    <w:p w:rsidR="00072FB8" w:rsidRDefault="00072FB8" w:rsidP="00072FB8">
      <w:pPr>
        <w:pStyle w:val="NormalWeb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UBND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 xml:space="preserve">….,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loa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phường</w:t>
      </w:r>
      <w:proofErr w:type="spellEnd"/>
      <w:r>
        <w:t xml:space="preserve">;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 </w:t>
      </w:r>
    </w:p>
    <w:p w:rsidR="00072FB8" w:rsidRDefault="00072FB8" w:rsidP="00072FB8">
      <w:pPr>
        <w:pStyle w:val="NormalWeb"/>
        <w:jc w:val="both"/>
      </w:pPr>
      <w:r>
        <w:rPr>
          <w:rStyle w:val="Strong"/>
        </w:rPr>
        <w:t xml:space="preserve">5.3. </w:t>
      </w:r>
      <w:proofErr w:type="spellStart"/>
      <w:r>
        <w:rPr>
          <w:rStyle w:val="Strong"/>
        </w:rPr>
        <w:t>Trách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nhiệm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phối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phòng</w:t>
      </w:r>
      <w:proofErr w:type="spellEnd"/>
      <w:r>
        <w:rPr>
          <w:rStyle w:val="Strong"/>
        </w:rPr>
        <w:t xml:space="preserve">, ban,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quan</w:t>
      </w:r>
      <w:proofErr w:type="spellEnd"/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UBND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cắm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>. </w:t>
      </w:r>
    </w:p>
    <w:p w:rsidR="00072FB8" w:rsidRDefault="00072FB8" w:rsidP="00072FB8">
      <w:pPr>
        <w:pStyle w:val="NormalWeb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,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proofErr w:type="gramStart"/>
      <w:r>
        <w:t>…..</w:t>
      </w:r>
      <w:proofErr w:type="gramEnd"/>
      <w:r>
        <w:t>/.</w:t>
      </w:r>
    </w:p>
    <w:p w:rsidR="007E02B8" w:rsidRDefault="007E02B8">
      <w:bookmarkStart w:id="0" w:name="_GoBack"/>
      <w:bookmarkEnd w:id="0"/>
    </w:p>
    <w:sectPr w:rsidR="007E02B8" w:rsidSect="0065583D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8"/>
    <w:rsid w:val="00072FB8"/>
    <w:rsid w:val="0065583D"/>
    <w:rsid w:val="007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69A3B-934F-4B51-92D1-5D7CB91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2023-01-05T14:18:00Z</dcterms:created>
  <dcterms:modified xsi:type="dcterms:W3CDTF">2023-01-05T14:19:00Z</dcterms:modified>
</cp:coreProperties>
</file>