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93" w:rsidRPr="00711193" w:rsidRDefault="00711193" w:rsidP="00711193">
      <w:pPr>
        <w:pStyle w:val="NormalWeb"/>
        <w:jc w:val="both"/>
        <w:rPr>
          <w:rFonts w:asciiTheme="majorHAnsi" w:hAnsiTheme="majorHAnsi" w:cstheme="majorHAnsi"/>
        </w:rPr>
      </w:pPr>
      <w:bookmarkStart w:id="0" w:name="_GoBack"/>
      <w:r w:rsidRPr="00711193">
        <w:rPr>
          <w:rStyle w:val="Strong"/>
          <w:rFonts w:asciiTheme="majorHAnsi" w:hAnsiTheme="majorHAnsi" w:cstheme="majorHAnsi"/>
          <w:u w:val="single"/>
        </w:rPr>
        <w:t>Mẫu số 1:</w:t>
      </w:r>
      <w:r w:rsidRPr="00711193">
        <w:rPr>
          <w:rFonts w:asciiTheme="majorHAnsi" w:hAnsiTheme="majorHAnsi" w:cstheme="majorHAnsi"/>
        </w:rPr>
        <w:t xml:space="preserve"> là mẫu mẫu 11-LĐTL ban hành kèm theo Thông tư 200/2014/TT-BTC, được áp dụng với đối tượng sau:</w:t>
      </w:r>
    </w:p>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Các doanh nghiệp thuộc mọi lĩnh vực, mọi thành phần kinh tế</w:t>
      </w:r>
    </w:p>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Các doanh nghiệp vừa và nhỏ vận dụng quy định của Thông tư 200/2014/TT-BTC phù hợp với đặc điểm kinh doanh và yêu cầu quản lý của mình khi đang thực hiện kế toán theo chế độ kế toán áp dụng cho doanh nghiệp vừa và nhỏ phù hợp với đặc điểm kinh doanh và yêu cầu quản lý của mình</w:t>
      </w:r>
    </w:p>
    <w:tbl>
      <w:tblPr>
        <w:tblW w:w="5056" w:type="pct"/>
        <w:tblCellSpacing w:w="0" w:type="dxa"/>
        <w:tblCellMar>
          <w:left w:w="0" w:type="dxa"/>
          <w:right w:w="0" w:type="dxa"/>
        </w:tblCellMar>
        <w:tblLook w:val="04A0" w:firstRow="1" w:lastRow="0" w:firstColumn="1" w:lastColumn="0" w:noHBand="0" w:noVBand="1"/>
      </w:tblPr>
      <w:tblGrid>
        <w:gridCol w:w="1280"/>
        <w:gridCol w:w="7847"/>
      </w:tblGrid>
      <w:tr w:rsidR="00711193" w:rsidRPr="00711193" w:rsidTr="00711193">
        <w:trPr>
          <w:tblCellSpacing w:w="0" w:type="dxa"/>
        </w:trPr>
        <w:tc>
          <w:tcPr>
            <w:tcW w:w="701" w:type="pct"/>
            <w:vAlign w:val="center"/>
            <w:hideMark/>
          </w:tcPr>
          <w:p w:rsidR="00711193" w:rsidRPr="00711193" w:rsidRDefault="00711193">
            <w:pPr>
              <w:pStyle w:val="NormalWeb"/>
              <w:jc w:val="center"/>
              <w:rPr>
                <w:rFonts w:asciiTheme="majorHAnsi" w:hAnsiTheme="majorHAnsi" w:cstheme="majorHAnsi"/>
              </w:rPr>
            </w:pPr>
            <w:r w:rsidRPr="00711193">
              <w:rPr>
                <w:rStyle w:val="Strong"/>
                <w:rFonts w:asciiTheme="majorHAnsi" w:hAnsiTheme="majorHAnsi" w:cstheme="majorHAnsi"/>
              </w:rPr>
              <w:t>Đơn vị: ……</w:t>
            </w:r>
          </w:p>
          <w:p w:rsidR="00711193" w:rsidRPr="00711193" w:rsidRDefault="00711193">
            <w:pPr>
              <w:pStyle w:val="NormalWeb"/>
              <w:jc w:val="center"/>
              <w:rPr>
                <w:rFonts w:asciiTheme="majorHAnsi" w:hAnsiTheme="majorHAnsi" w:cstheme="majorHAnsi"/>
              </w:rPr>
            </w:pPr>
            <w:r w:rsidRPr="00711193">
              <w:rPr>
                <w:rStyle w:val="Strong"/>
                <w:rFonts w:asciiTheme="majorHAnsi" w:hAnsiTheme="majorHAnsi" w:cstheme="majorHAnsi"/>
              </w:rPr>
              <w:t>Bộ phận: …</w:t>
            </w:r>
          </w:p>
        </w:tc>
        <w:tc>
          <w:tcPr>
            <w:tcW w:w="5428" w:type="pct"/>
            <w:vAlign w:val="center"/>
            <w:hideMark/>
          </w:tcPr>
          <w:p w:rsidR="00711193" w:rsidRPr="00711193" w:rsidRDefault="00711193">
            <w:pPr>
              <w:jc w:val="center"/>
              <w:rPr>
                <w:rFonts w:asciiTheme="majorHAnsi" w:hAnsiTheme="majorHAnsi" w:cstheme="majorHAnsi"/>
                <w:sz w:val="24"/>
                <w:szCs w:val="24"/>
              </w:rPr>
            </w:pPr>
            <w:r w:rsidRPr="00711193">
              <w:rPr>
                <w:rStyle w:val="Strong"/>
                <w:rFonts w:asciiTheme="majorHAnsi" w:hAnsiTheme="majorHAnsi" w:cstheme="majorHAnsi"/>
                <w:sz w:val="24"/>
                <w:szCs w:val="24"/>
              </w:rPr>
              <w:t>Mẫu số 11 - LĐTL</w:t>
            </w:r>
            <w:r w:rsidRPr="00711193">
              <w:rPr>
                <w:rFonts w:asciiTheme="majorHAnsi" w:hAnsiTheme="majorHAnsi" w:cstheme="majorHAnsi"/>
                <w:sz w:val="24"/>
                <w:szCs w:val="24"/>
              </w:rPr>
              <w:br/>
              <w:t>(Ban hành theo Thông tư số 133/2016/TT-BTC ngày 26/8/2016 của Bộ Tài chính)</w:t>
            </w:r>
          </w:p>
        </w:tc>
      </w:tr>
    </w:tbl>
    <w:p w:rsidR="00711193" w:rsidRPr="00711193" w:rsidRDefault="00711193" w:rsidP="00711193">
      <w:pPr>
        <w:pStyle w:val="NormalWeb"/>
        <w:jc w:val="center"/>
        <w:rPr>
          <w:rFonts w:asciiTheme="majorHAnsi" w:hAnsiTheme="majorHAnsi" w:cstheme="majorHAnsi"/>
        </w:rPr>
      </w:pPr>
      <w:r w:rsidRPr="00711193">
        <w:rPr>
          <w:rStyle w:val="Strong"/>
          <w:rFonts w:asciiTheme="majorHAnsi" w:hAnsiTheme="majorHAnsi" w:cstheme="majorHAnsi"/>
        </w:rPr>
        <w:t>BẢNG PHÂN BỔ TIỀN LƯƠNG VÀ BẢO HIỂM XÃ HỘI</w:t>
      </w:r>
    </w:p>
    <w:p w:rsidR="00711193" w:rsidRPr="00711193" w:rsidRDefault="00711193" w:rsidP="00711193">
      <w:pPr>
        <w:pStyle w:val="NormalWeb"/>
        <w:jc w:val="center"/>
        <w:rPr>
          <w:rFonts w:asciiTheme="majorHAnsi" w:hAnsiTheme="majorHAnsi" w:cstheme="majorHAnsi"/>
        </w:rPr>
      </w:pPr>
      <w:r w:rsidRPr="00711193">
        <w:rPr>
          <w:rFonts w:asciiTheme="majorHAnsi" w:hAnsiTheme="majorHAnsi" w:cstheme="majorHAnsi"/>
        </w:rPr>
        <w:t>Tháng... năm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
        <w:gridCol w:w="2630"/>
        <w:gridCol w:w="664"/>
        <w:gridCol w:w="608"/>
        <w:gridCol w:w="543"/>
        <w:gridCol w:w="503"/>
        <w:gridCol w:w="503"/>
        <w:gridCol w:w="503"/>
        <w:gridCol w:w="674"/>
        <w:gridCol w:w="503"/>
        <w:gridCol w:w="640"/>
        <w:gridCol w:w="438"/>
        <w:gridCol w:w="529"/>
      </w:tblGrid>
      <w:tr w:rsidR="00711193" w:rsidRPr="00711193" w:rsidTr="0071119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Số TT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pStyle w:val="NormalWeb"/>
              <w:rPr>
                <w:rFonts w:asciiTheme="majorHAnsi" w:hAnsiTheme="majorHAnsi" w:cstheme="majorHAnsi"/>
              </w:rPr>
            </w:pPr>
            <w:r w:rsidRPr="00711193">
              <w:rPr>
                <w:rFonts w:asciiTheme="majorHAnsi" w:hAnsiTheme="majorHAnsi" w:cstheme="majorHAnsi"/>
              </w:rPr>
              <w:t>Ghi Có Tài khoản</w:t>
            </w:r>
          </w:p>
          <w:p w:rsidR="00711193" w:rsidRPr="00711193" w:rsidRDefault="00711193">
            <w:pPr>
              <w:pStyle w:val="NormalWeb"/>
              <w:rPr>
                <w:rFonts w:asciiTheme="majorHAnsi" w:hAnsiTheme="majorHAnsi" w:cstheme="majorHAnsi"/>
              </w:rPr>
            </w:pPr>
            <w:r w:rsidRPr="00711193">
              <w:rPr>
                <w:rFonts w:asciiTheme="majorHAnsi" w:hAnsiTheme="majorHAnsi" w:cstheme="majorHAnsi"/>
              </w:rPr>
              <w:t> </w:t>
            </w:r>
          </w:p>
          <w:p w:rsidR="00711193" w:rsidRPr="00711193" w:rsidRDefault="00711193">
            <w:pPr>
              <w:pStyle w:val="NormalWeb"/>
              <w:rPr>
                <w:rFonts w:asciiTheme="majorHAnsi" w:hAnsiTheme="majorHAnsi" w:cstheme="majorHAnsi"/>
              </w:rPr>
            </w:pPr>
            <w:r w:rsidRPr="00711193">
              <w:rPr>
                <w:rFonts w:asciiTheme="majorHAnsi" w:hAnsiTheme="majorHAnsi" w:cstheme="majorHAnsi"/>
              </w:rPr>
              <w:t> </w:t>
            </w:r>
          </w:p>
          <w:p w:rsidR="00711193" w:rsidRPr="00711193" w:rsidRDefault="00711193">
            <w:pPr>
              <w:pStyle w:val="NormalWeb"/>
              <w:rPr>
                <w:rFonts w:asciiTheme="majorHAnsi" w:hAnsiTheme="majorHAnsi" w:cstheme="majorHAnsi"/>
              </w:rPr>
            </w:pPr>
            <w:r w:rsidRPr="00711193">
              <w:rPr>
                <w:rFonts w:asciiTheme="majorHAnsi" w:hAnsiTheme="majorHAnsi" w:cstheme="majorHAnsi"/>
              </w:rPr>
              <w:t>Đối tượng sử dụng</w:t>
            </w:r>
            <w:r w:rsidRPr="00711193">
              <w:rPr>
                <w:rFonts w:asciiTheme="majorHAnsi" w:hAnsiTheme="majorHAnsi" w:cstheme="majorHAnsi"/>
              </w:rPr>
              <w:br/>
              <w:t>(Ghi Nợ các Tài khoản)</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334 - Phải trả người lao động</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338 - Phải trả, phải nộp khác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335 Chi phí phải trả</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Tổng cộng</w:t>
            </w:r>
          </w:p>
        </w:tc>
      </w:tr>
      <w:tr w:rsidR="00711193" w:rsidRPr="00711193" w:rsidTr="0071119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Lương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Các khoản khác</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Cộng Có TK 334</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Kinh phí công đoàn</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xã hội</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y tế</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thất nghiệp</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tai nạn lao động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Cộng Có TK 338 (3382, 3383, 3384, 3385, 3388)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11</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154- Chi phí sản xuất, kinh doanh dở dang (TK 631 - Giá thành sản xuất)</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642- Chi phí quản lý kinh doanh</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242- Chi phí trả trước</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335- Chi phí phải trả</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xml:space="preserve">TK 241- Xây dựng cơ bản </w:t>
            </w:r>
            <w:r w:rsidRPr="00711193">
              <w:rPr>
                <w:rFonts w:asciiTheme="majorHAnsi" w:hAnsiTheme="majorHAnsi" w:cstheme="majorHAnsi"/>
                <w:sz w:val="24"/>
                <w:szCs w:val="24"/>
              </w:rPr>
              <w:lastRenderedPageBreak/>
              <w:t>dở dang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334- Phải trả người lao động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338- Phải trả, phải nộp khác</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Cộng: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bl>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w:t>
      </w:r>
    </w:p>
    <w:tbl>
      <w:tblPr>
        <w:tblW w:w="5071" w:type="pct"/>
        <w:tblCellSpacing w:w="0" w:type="dxa"/>
        <w:tblCellMar>
          <w:left w:w="0" w:type="dxa"/>
          <w:right w:w="0" w:type="dxa"/>
        </w:tblCellMar>
        <w:tblLook w:val="04A0" w:firstRow="1" w:lastRow="0" w:firstColumn="1" w:lastColumn="0" w:noHBand="0" w:noVBand="1"/>
      </w:tblPr>
      <w:tblGrid>
        <w:gridCol w:w="3495"/>
        <w:gridCol w:w="5659"/>
      </w:tblGrid>
      <w:tr w:rsidR="00711193" w:rsidRPr="00711193" w:rsidTr="00711193">
        <w:trPr>
          <w:tblCellSpacing w:w="0" w:type="dxa"/>
        </w:trPr>
        <w:tc>
          <w:tcPr>
            <w:tcW w:w="1909" w:type="pct"/>
            <w:vAlign w:val="center"/>
            <w:hideMark/>
          </w:tcPr>
          <w:p w:rsidR="00711193" w:rsidRPr="00711193" w:rsidRDefault="00711193">
            <w:pPr>
              <w:jc w:val="center"/>
              <w:rPr>
                <w:rFonts w:asciiTheme="majorHAnsi" w:hAnsiTheme="majorHAnsi" w:cstheme="majorHAnsi"/>
                <w:sz w:val="24"/>
                <w:szCs w:val="24"/>
              </w:rPr>
            </w:pPr>
            <w:r w:rsidRPr="00711193">
              <w:rPr>
                <w:rStyle w:val="Strong"/>
                <w:rFonts w:asciiTheme="majorHAnsi" w:hAnsiTheme="majorHAnsi" w:cstheme="majorHAnsi"/>
                <w:sz w:val="24"/>
                <w:szCs w:val="24"/>
              </w:rPr>
              <w:t>Người lập bảng </w:t>
            </w:r>
            <w:r w:rsidRPr="00711193">
              <w:rPr>
                <w:rFonts w:asciiTheme="majorHAnsi" w:hAnsiTheme="majorHAnsi" w:cstheme="majorHAnsi"/>
                <w:sz w:val="24"/>
                <w:szCs w:val="24"/>
              </w:rPr>
              <w:br/>
              <w:t>(Ký, họ tên)</w:t>
            </w:r>
          </w:p>
        </w:tc>
        <w:tc>
          <w:tcPr>
            <w:tcW w:w="10712" w:type="pct"/>
            <w:vAlign w:val="center"/>
            <w:hideMark/>
          </w:tcPr>
          <w:p w:rsidR="00711193" w:rsidRPr="00711193" w:rsidRDefault="00711193">
            <w:pPr>
              <w:jc w:val="right"/>
              <w:rPr>
                <w:rFonts w:asciiTheme="majorHAnsi" w:hAnsiTheme="majorHAnsi" w:cstheme="majorHAnsi"/>
                <w:sz w:val="24"/>
                <w:szCs w:val="24"/>
              </w:rPr>
            </w:pPr>
            <w:r w:rsidRPr="00711193">
              <w:rPr>
                <w:rStyle w:val="Emphasis"/>
                <w:rFonts w:asciiTheme="majorHAnsi" w:hAnsiTheme="majorHAnsi" w:cstheme="majorHAnsi"/>
                <w:sz w:val="24"/>
                <w:szCs w:val="24"/>
              </w:rPr>
              <w:t>Ngày… tháng… năm…</w:t>
            </w:r>
            <w:r w:rsidRPr="00711193">
              <w:rPr>
                <w:rFonts w:asciiTheme="majorHAnsi" w:hAnsiTheme="majorHAnsi" w:cstheme="majorHAnsi"/>
                <w:sz w:val="24"/>
                <w:szCs w:val="24"/>
              </w:rPr>
              <w:br/>
            </w:r>
            <w:r w:rsidRPr="00711193">
              <w:rPr>
                <w:rStyle w:val="Strong"/>
                <w:rFonts w:asciiTheme="majorHAnsi" w:hAnsiTheme="majorHAnsi" w:cstheme="majorHAnsi"/>
                <w:sz w:val="24"/>
                <w:szCs w:val="24"/>
              </w:rPr>
              <w:t>Kế toán trưởng</w:t>
            </w:r>
            <w:r w:rsidRPr="00711193">
              <w:rPr>
                <w:rFonts w:asciiTheme="majorHAnsi" w:hAnsiTheme="majorHAnsi" w:cstheme="majorHAnsi"/>
                <w:sz w:val="24"/>
                <w:szCs w:val="24"/>
              </w:rPr>
              <w:t>(Ký, họ tên)</w:t>
            </w:r>
          </w:p>
        </w:tc>
      </w:tr>
    </w:tbl>
    <w:p w:rsidR="00711193" w:rsidRPr="00711193" w:rsidRDefault="00711193" w:rsidP="00711193">
      <w:pPr>
        <w:pStyle w:val="NormalWeb"/>
        <w:jc w:val="both"/>
        <w:rPr>
          <w:rFonts w:asciiTheme="majorHAnsi" w:hAnsiTheme="majorHAnsi" w:cstheme="majorHAnsi"/>
        </w:rPr>
      </w:pPr>
      <w:r w:rsidRPr="00711193">
        <w:rPr>
          <w:rStyle w:val="Strong"/>
          <w:rFonts w:asciiTheme="majorHAnsi" w:hAnsiTheme="majorHAnsi" w:cstheme="majorHAnsi"/>
          <w:u w:val="single"/>
        </w:rPr>
        <w:t>Mẫu số 2:  </w:t>
      </w:r>
    </w:p>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Mẫu 11-LĐTL ban hành kèm theo Thông tư số 133/2016/TT-BTC được áp dụng với các đối tượng sau:</w:t>
      </w:r>
    </w:p>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Các doanh nghiệp nhỏ và vừa (bao gồm cả doanh nghiệp siêu nhỏ) thuộc mọi lĩnh vực, mọi thành phần kinh tế theo quy định của pháp luật về hỗ trợ doanh nghiệp nhỏ và vừa, ghjloại trừ doanh nghiệp Nhà nước, doanh nghiệp do Nhà nước sở hữu trên 50% vốn điều lệ, công ty đại chúng theo quy định của pháp luật về chứng khoán, các hợp tác xã, liên hiệp hợp tác xã theo quy định tại Luật hợp tác xã</w:t>
      </w:r>
    </w:p>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Doanh nghiệp có quy mô nhỏ và vừa thuộc lĩnh vực đặc thù như điện lực, dầu khí, bảo hiểm, chứng khoán... đã được Bộ Tài chính ban hành hoặc chấp thuận áp dụng chế độ kế toán đặc thù</w:t>
      </w:r>
    </w:p>
    <w:tbl>
      <w:tblPr>
        <w:tblW w:w="5074" w:type="pct"/>
        <w:tblCellSpacing w:w="0" w:type="dxa"/>
        <w:tblCellMar>
          <w:left w:w="0" w:type="dxa"/>
          <w:right w:w="0" w:type="dxa"/>
        </w:tblCellMar>
        <w:tblLook w:val="04A0" w:firstRow="1" w:lastRow="0" w:firstColumn="1" w:lastColumn="0" w:noHBand="0" w:noVBand="1"/>
      </w:tblPr>
      <w:tblGrid>
        <w:gridCol w:w="1284"/>
        <w:gridCol w:w="7876"/>
      </w:tblGrid>
      <w:tr w:rsidR="00711193" w:rsidRPr="00711193" w:rsidTr="00711193">
        <w:trPr>
          <w:tblCellSpacing w:w="0" w:type="dxa"/>
        </w:trPr>
        <w:tc>
          <w:tcPr>
            <w:tcW w:w="701" w:type="pct"/>
            <w:vAlign w:val="center"/>
            <w:hideMark/>
          </w:tcPr>
          <w:p w:rsidR="00711193" w:rsidRPr="00711193" w:rsidRDefault="00711193">
            <w:pPr>
              <w:pStyle w:val="NormalWeb"/>
              <w:jc w:val="center"/>
              <w:rPr>
                <w:rFonts w:asciiTheme="majorHAnsi" w:hAnsiTheme="majorHAnsi" w:cstheme="majorHAnsi"/>
              </w:rPr>
            </w:pPr>
            <w:r w:rsidRPr="00711193">
              <w:rPr>
                <w:rStyle w:val="Strong"/>
                <w:rFonts w:asciiTheme="majorHAnsi" w:hAnsiTheme="majorHAnsi" w:cstheme="majorHAnsi"/>
              </w:rPr>
              <w:t>Đơn vị: ……</w:t>
            </w:r>
          </w:p>
          <w:p w:rsidR="00711193" w:rsidRPr="00711193" w:rsidRDefault="00711193">
            <w:pPr>
              <w:pStyle w:val="NormalWeb"/>
              <w:jc w:val="center"/>
              <w:rPr>
                <w:rFonts w:asciiTheme="majorHAnsi" w:hAnsiTheme="majorHAnsi" w:cstheme="majorHAnsi"/>
              </w:rPr>
            </w:pPr>
            <w:r w:rsidRPr="00711193">
              <w:rPr>
                <w:rStyle w:val="Strong"/>
                <w:rFonts w:asciiTheme="majorHAnsi" w:hAnsiTheme="majorHAnsi" w:cstheme="majorHAnsi"/>
              </w:rPr>
              <w:t>Bộ phận: …</w:t>
            </w:r>
          </w:p>
        </w:tc>
        <w:tc>
          <w:tcPr>
            <w:tcW w:w="5450" w:type="pct"/>
            <w:vAlign w:val="center"/>
            <w:hideMark/>
          </w:tcPr>
          <w:p w:rsidR="00711193" w:rsidRPr="00711193" w:rsidRDefault="00711193">
            <w:pPr>
              <w:jc w:val="center"/>
              <w:rPr>
                <w:rFonts w:asciiTheme="majorHAnsi" w:hAnsiTheme="majorHAnsi" w:cstheme="majorHAnsi"/>
                <w:sz w:val="24"/>
                <w:szCs w:val="24"/>
              </w:rPr>
            </w:pPr>
            <w:r w:rsidRPr="00711193">
              <w:rPr>
                <w:rStyle w:val="Strong"/>
                <w:rFonts w:asciiTheme="majorHAnsi" w:hAnsiTheme="majorHAnsi" w:cstheme="majorHAnsi"/>
                <w:sz w:val="24"/>
                <w:szCs w:val="24"/>
              </w:rPr>
              <w:t>Mẫu số 11 - LĐTL</w:t>
            </w:r>
            <w:r w:rsidRPr="00711193">
              <w:rPr>
                <w:rFonts w:asciiTheme="majorHAnsi" w:hAnsiTheme="majorHAnsi" w:cstheme="majorHAnsi"/>
                <w:sz w:val="24"/>
                <w:szCs w:val="24"/>
              </w:rPr>
              <w:br/>
              <w:t>(Ban hành theo Thông tư số 133/2016/TT-BTC ngày 26/8/2016 của Bộ Tài chính)</w:t>
            </w:r>
          </w:p>
        </w:tc>
      </w:tr>
    </w:tbl>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w:t>
      </w:r>
    </w:p>
    <w:p w:rsidR="00711193" w:rsidRPr="00711193" w:rsidRDefault="00711193" w:rsidP="00711193">
      <w:pPr>
        <w:pStyle w:val="NormalWeb"/>
        <w:jc w:val="center"/>
        <w:rPr>
          <w:rFonts w:asciiTheme="majorHAnsi" w:hAnsiTheme="majorHAnsi" w:cstheme="majorHAnsi"/>
        </w:rPr>
      </w:pPr>
      <w:r w:rsidRPr="00711193">
        <w:rPr>
          <w:rStyle w:val="Strong"/>
          <w:rFonts w:asciiTheme="majorHAnsi" w:hAnsiTheme="majorHAnsi" w:cstheme="majorHAnsi"/>
        </w:rPr>
        <w:t>BẢNG PHÂN BỔ TIỀN LƯƠNG VÀ BẢO HIỂM XÃ HỘI</w:t>
      </w:r>
    </w:p>
    <w:p w:rsidR="00711193" w:rsidRPr="00711193" w:rsidRDefault="00711193" w:rsidP="00711193">
      <w:pPr>
        <w:pStyle w:val="NormalWeb"/>
        <w:jc w:val="center"/>
        <w:rPr>
          <w:rFonts w:asciiTheme="majorHAnsi" w:hAnsiTheme="majorHAnsi" w:cstheme="majorHAnsi"/>
        </w:rPr>
      </w:pPr>
      <w:r w:rsidRPr="00711193">
        <w:rPr>
          <w:rFonts w:asciiTheme="majorHAnsi" w:hAnsiTheme="majorHAnsi" w:cstheme="majorHAnsi"/>
        </w:rPr>
        <w:t>Tháng... năm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
        <w:gridCol w:w="2630"/>
        <w:gridCol w:w="664"/>
        <w:gridCol w:w="608"/>
        <w:gridCol w:w="543"/>
        <w:gridCol w:w="503"/>
        <w:gridCol w:w="503"/>
        <w:gridCol w:w="503"/>
        <w:gridCol w:w="674"/>
        <w:gridCol w:w="503"/>
        <w:gridCol w:w="640"/>
        <w:gridCol w:w="438"/>
        <w:gridCol w:w="529"/>
      </w:tblGrid>
      <w:tr w:rsidR="00711193" w:rsidRPr="00711193" w:rsidTr="0071119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Số T</w:t>
            </w:r>
            <w:r w:rsidRPr="00711193">
              <w:rPr>
                <w:rFonts w:asciiTheme="majorHAnsi" w:hAnsiTheme="majorHAnsi" w:cstheme="majorHAnsi"/>
                <w:sz w:val="24"/>
                <w:szCs w:val="24"/>
              </w:rPr>
              <w:lastRenderedPageBreak/>
              <w:t>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pStyle w:val="NormalWeb"/>
              <w:rPr>
                <w:rFonts w:asciiTheme="majorHAnsi" w:hAnsiTheme="majorHAnsi" w:cstheme="majorHAnsi"/>
              </w:rPr>
            </w:pPr>
            <w:r w:rsidRPr="00711193">
              <w:rPr>
                <w:rFonts w:asciiTheme="majorHAnsi" w:hAnsiTheme="majorHAnsi" w:cstheme="majorHAnsi"/>
              </w:rPr>
              <w:lastRenderedPageBreak/>
              <w:t>Ghi Có Tài khoản</w:t>
            </w:r>
          </w:p>
          <w:p w:rsidR="00711193" w:rsidRPr="00711193" w:rsidRDefault="00711193">
            <w:pPr>
              <w:pStyle w:val="NormalWeb"/>
              <w:rPr>
                <w:rFonts w:asciiTheme="majorHAnsi" w:hAnsiTheme="majorHAnsi" w:cstheme="majorHAnsi"/>
              </w:rPr>
            </w:pPr>
            <w:r w:rsidRPr="00711193">
              <w:rPr>
                <w:rFonts w:asciiTheme="majorHAnsi" w:hAnsiTheme="majorHAnsi" w:cstheme="majorHAnsi"/>
              </w:rPr>
              <w:lastRenderedPageBreak/>
              <w:t> </w:t>
            </w:r>
          </w:p>
          <w:p w:rsidR="00711193" w:rsidRPr="00711193" w:rsidRDefault="00711193">
            <w:pPr>
              <w:pStyle w:val="NormalWeb"/>
              <w:rPr>
                <w:rFonts w:asciiTheme="majorHAnsi" w:hAnsiTheme="majorHAnsi" w:cstheme="majorHAnsi"/>
              </w:rPr>
            </w:pPr>
            <w:r w:rsidRPr="00711193">
              <w:rPr>
                <w:rFonts w:asciiTheme="majorHAnsi" w:hAnsiTheme="majorHAnsi" w:cstheme="majorHAnsi"/>
              </w:rPr>
              <w:t> </w:t>
            </w:r>
          </w:p>
          <w:p w:rsidR="00711193" w:rsidRPr="00711193" w:rsidRDefault="00711193">
            <w:pPr>
              <w:pStyle w:val="NormalWeb"/>
              <w:rPr>
                <w:rFonts w:asciiTheme="majorHAnsi" w:hAnsiTheme="majorHAnsi" w:cstheme="majorHAnsi"/>
              </w:rPr>
            </w:pPr>
            <w:r w:rsidRPr="00711193">
              <w:rPr>
                <w:rFonts w:asciiTheme="majorHAnsi" w:hAnsiTheme="majorHAnsi" w:cstheme="majorHAnsi"/>
              </w:rPr>
              <w:t>Đối tượng sử dụng</w:t>
            </w:r>
            <w:r w:rsidRPr="00711193">
              <w:rPr>
                <w:rFonts w:asciiTheme="majorHAnsi" w:hAnsiTheme="majorHAnsi" w:cstheme="majorHAnsi"/>
              </w:rPr>
              <w:br/>
              <w:t>(Ghi Nợ các Tài khoản)</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lastRenderedPageBreak/>
              <w:t>TK 334 - Phải trả người lao động</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338 - Phải trả, phải nộp khác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xml:space="preserve">TK 335 </w:t>
            </w:r>
            <w:r w:rsidRPr="00711193">
              <w:rPr>
                <w:rFonts w:asciiTheme="majorHAnsi" w:hAnsiTheme="majorHAnsi" w:cstheme="majorHAnsi"/>
                <w:sz w:val="24"/>
                <w:szCs w:val="24"/>
              </w:rPr>
              <w:lastRenderedPageBreak/>
              <w:t>Chi phí phải trả</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lastRenderedPageBreak/>
              <w:t xml:space="preserve">Tổng </w:t>
            </w:r>
            <w:r w:rsidRPr="00711193">
              <w:rPr>
                <w:rFonts w:asciiTheme="majorHAnsi" w:hAnsiTheme="majorHAnsi" w:cstheme="majorHAnsi"/>
                <w:sz w:val="24"/>
                <w:szCs w:val="24"/>
              </w:rPr>
              <w:lastRenderedPageBreak/>
              <w:t>cộng</w:t>
            </w:r>
          </w:p>
        </w:tc>
      </w:tr>
      <w:tr w:rsidR="00711193" w:rsidRPr="00711193" w:rsidTr="0071119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Lương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Các khoản khác</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Cộng Có TK 334</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Kinh phí công đoàn</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xã hội</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y tế</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thất nghiệp</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Bảo hiểm tai nạn lao động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Cộng Có TK 338 (3382, 3383, 3384, 3385, 3388)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lastRenderedPageBreak/>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11</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154- Chi phí sản xuất, kinh doanh dở dang (TK 631 - Giá thành sản xuất)</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642- Chi phí quản lý kinh doanh</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242- Chi phí trả trước</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335- Chi phí phải trả</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241- Xây dựng cơ bản dở dang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334- Phải trả người lao động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TK 338- Phải trả, phải nộp khác</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r w:rsidR="00711193" w:rsidRPr="00711193" w:rsidTr="0071119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Cộng:</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11193" w:rsidRPr="00711193" w:rsidRDefault="00711193">
            <w:pPr>
              <w:rPr>
                <w:rFonts w:asciiTheme="majorHAnsi" w:hAnsiTheme="majorHAnsi" w:cstheme="majorHAnsi"/>
                <w:sz w:val="24"/>
                <w:szCs w:val="24"/>
              </w:rPr>
            </w:pPr>
            <w:r w:rsidRPr="00711193">
              <w:rPr>
                <w:rFonts w:asciiTheme="majorHAnsi" w:hAnsiTheme="majorHAnsi" w:cstheme="majorHAnsi"/>
                <w:sz w:val="24"/>
                <w:szCs w:val="24"/>
              </w:rPr>
              <w:t> </w:t>
            </w:r>
          </w:p>
        </w:tc>
      </w:tr>
    </w:tbl>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w:t>
      </w:r>
    </w:p>
    <w:tbl>
      <w:tblPr>
        <w:tblW w:w="5071" w:type="pct"/>
        <w:tblCellSpacing w:w="0" w:type="dxa"/>
        <w:tblCellMar>
          <w:left w:w="0" w:type="dxa"/>
          <w:right w:w="0" w:type="dxa"/>
        </w:tblCellMar>
        <w:tblLook w:val="04A0" w:firstRow="1" w:lastRow="0" w:firstColumn="1" w:lastColumn="0" w:noHBand="0" w:noVBand="1"/>
      </w:tblPr>
      <w:tblGrid>
        <w:gridCol w:w="3495"/>
        <w:gridCol w:w="5659"/>
      </w:tblGrid>
      <w:tr w:rsidR="00711193" w:rsidRPr="00711193" w:rsidTr="00711193">
        <w:trPr>
          <w:tblCellSpacing w:w="0" w:type="dxa"/>
        </w:trPr>
        <w:tc>
          <w:tcPr>
            <w:tcW w:w="1909" w:type="pct"/>
            <w:vAlign w:val="center"/>
            <w:hideMark/>
          </w:tcPr>
          <w:p w:rsidR="00711193" w:rsidRPr="00711193" w:rsidRDefault="00711193">
            <w:pPr>
              <w:jc w:val="center"/>
              <w:rPr>
                <w:rFonts w:asciiTheme="majorHAnsi" w:hAnsiTheme="majorHAnsi" w:cstheme="majorHAnsi"/>
                <w:sz w:val="24"/>
                <w:szCs w:val="24"/>
              </w:rPr>
            </w:pPr>
            <w:r w:rsidRPr="00711193">
              <w:rPr>
                <w:rStyle w:val="Strong"/>
                <w:rFonts w:asciiTheme="majorHAnsi" w:hAnsiTheme="majorHAnsi" w:cstheme="majorHAnsi"/>
                <w:sz w:val="24"/>
                <w:szCs w:val="24"/>
              </w:rPr>
              <w:t>Người lập bảng </w:t>
            </w:r>
            <w:r w:rsidRPr="00711193">
              <w:rPr>
                <w:rFonts w:asciiTheme="majorHAnsi" w:hAnsiTheme="majorHAnsi" w:cstheme="majorHAnsi"/>
                <w:sz w:val="24"/>
                <w:szCs w:val="24"/>
              </w:rPr>
              <w:br/>
              <w:t>(Ký, họ tên)</w:t>
            </w:r>
          </w:p>
        </w:tc>
        <w:tc>
          <w:tcPr>
            <w:tcW w:w="10712" w:type="pct"/>
            <w:vAlign w:val="center"/>
            <w:hideMark/>
          </w:tcPr>
          <w:p w:rsidR="00711193" w:rsidRPr="00711193" w:rsidRDefault="00711193">
            <w:pPr>
              <w:jc w:val="right"/>
              <w:rPr>
                <w:rFonts w:asciiTheme="majorHAnsi" w:hAnsiTheme="majorHAnsi" w:cstheme="majorHAnsi"/>
                <w:sz w:val="24"/>
                <w:szCs w:val="24"/>
              </w:rPr>
            </w:pPr>
            <w:r w:rsidRPr="00711193">
              <w:rPr>
                <w:rStyle w:val="Emphasis"/>
                <w:rFonts w:asciiTheme="majorHAnsi" w:hAnsiTheme="majorHAnsi" w:cstheme="majorHAnsi"/>
                <w:sz w:val="24"/>
                <w:szCs w:val="24"/>
              </w:rPr>
              <w:t>Ngày… tháng… năm…</w:t>
            </w:r>
            <w:r w:rsidRPr="00711193">
              <w:rPr>
                <w:rFonts w:asciiTheme="majorHAnsi" w:hAnsiTheme="majorHAnsi" w:cstheme="majorHAnsi"/>
                <w:sz w:val="24"/>
                <w:szCs w:val="24"/>
              </w:rPr>
              <w:br/>
            </w:r>
            <w:r w:rsidRPr="00711193">
              <w:rPr>
                <w:rStyle w:val="Strong"/>
                <w:rFonts w:asciiTheme="majorHAnsi" w:hAnsiTheme="majorHAnsi" w:cstheme="majorHAnsi"/>
                <w:sz w:val="24"/>
                <w:szCs w:val="24"/>
              </w:rPr>
              <w:t>Kế toán trưởng</w:t>
            </w:r>
            <w:r w:rsidRPr="00711193">
              <w:rPr>
                <w:rFonts w:asciiTheme="majorHAnsi" w:hAnsiTheme="majorHAnsi" w:cstheme="majorHAnsi"/>
                <w:sz w:val="24"/>
                <w:szCs w:val="24"/>
              </w:rPr>
              <w:t>(Ký, họ tên)</w:t>
            </w:r>
          </w:p>
        </w:tc>
      </w:tr>
    </w:tbl>
    <w:p w:rsidR="00711193" w:rsidRPr="00711193" w:rsidRDefault="00711193" w:rsidP="00711193">
      <w:pPr>
        <w:pStyle w:val="NormalWeb"/>
        <w:jc w:val="both"/>
        <w:rPr>
          <w:rFonts w:asciiTheme="majorHAnsi" w:hAnsiTheme="majorHAnsi" w:cstheme="majorHAnsi"/>
        </w:rPr>
      </w:pPr>
      <w:r w:rsidRPr="00711193">
        <w:rPr>
          <w:rFonts w:asciiTheme="majorHAnsi" w:hAnsiTheme="majorHAnsi" w:cstheme="majorHAnsi"/>
        </w:rPr>
        <w:t> </w:t>
      </w:r>
    </w:p>
    <w:bookmarkEnd w:id="0"/>
    <w:p w:rsidR="00B355CA" w:rsidRPr="00711193" w:rsidRDefault="00B355CA" w:rsidP="00ED3227">
      <w:pPr>
        <w:rPr>
          <w:rFonts w:asciiTheme="majorHAnsi" w:hAnsiTheme="majorHAnsi" w:cstheme="majorHAnsi"/>
          <w:sz w:val="24"/>
          <w:szCs w:val="24"/>
        </w:rPr>
      </w:pPr>
    </w:p>
    <w:sectPr w:rsidR="00B355CA" w:rsidRPr="00711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55D0"/>
    <w:multiLevelType w:val="multilevel"/>
    <w:tmpl w:val="B0EC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CA"/>
    <w:rsid w:val="00095231"/>
    <w:rsid w:val="006D72D1"/>
    <w:rsid w:val="00711193"/>
    <w:rsid w:val="00B355CA"/>
    <w:rsid w:val="00ED32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322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7111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5C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355CA"/>
    <w:rPr>
      <w:b/>
      <w:bCs/>
    </w:rPr>
  </w:style>
  <w:style w:type="character" w:styleId="Emphasis">
    <w:name w:val="Emphasis"/>
    <w:basedOn w:val="DefaultParagraphFont"/>
    <w:uiPriority w:val="20"/>
    <w:qFormat/>
    <w:rsid w:val="00B355CA"/>
    <w:rPr>
      <w:i/>
      <w:iCs/>
    </w:rPr>
  </w:style>
  <w:style w:type="character" w:customStyle="1" w:styleId="Heading2Char">
    <w:name w:val="Heading 2 Char"/>
    <w:basedOn w:val="DefaultParagraphFont"/>
    <w:link w:val="Heading2"/>
    <w:uiPriority w:val="9"/>
    <w:rsid w:val="00ED3227"/>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semiHidden/>
    <w:rsid w:val="0071119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322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7111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5C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355CA"/>
    <w:rPr>
      <w:b/>
      <w:bCs/>
    </w:rPr>
  </w:style>
  <w:style w:type="character" w:styleId="Emphasis">
    <w:name w:val="Emphasis"/>
    <w:basedOn w:val="DefaultParagraphFont"/>
    <w:uiPriority w:val="20"/>
    <w:qFormat/>
    <w:rsid w:val="00B355CA"/>
    <w:rPr>
      <w:i/>
      <w:iCs/>
    </w:rPr>
  </w:style>
  <w:style w:type="character" w:customStyle="1" w:styleId="Heading2Char">
    <w:name w:val="Heading 2 Char"/>
    <w:basedOn w:val="DefaultParagraphFont"/>
    <w:link w:val="Heading2"/>
    <w:uiPriority w:val="9"/>
    <w:rsid w:val="00ED3227"/>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semiHidden/>
    <w:rsid w:val="0071119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2477">
      <w:bodyDiv w:val="1"/>
      <w:marLeft w:val="0"/>
      <w:marRight w:val="0"/>
      <w:marTop w:val="0"/>
      <w:marBottom w:val="0"/>
      <w:divBdr>
        <w:top w:val="none" w:sz="0" w:space="0" w:color="auto"/>
        <w:left w:val="none" w:sz="0" w:space="0" w:color="auto"/>
        <w:bottom w:val="none" w:sz="0" w:space="0" w:color="auto"/>
        <w:right w:val="none" w:sz="0" w:space="0" w:color="auto"/>
      </w:divBdr>
      <w:divsChild>
        <w:div w:id="1570533221">
          <w:marLeft w:val="0"/>
          <w:marRight w:val="0"/>
          <w:marTop w:val="0"/>
          <w:marBottom w:val="0"/>
          <w:divBdr>
            <w:top w:val="none" w:sz="0" w:space="0" w:color="auto"/>
            <w:left w:val="none" w:sz="0" w:space="0" w:color="auto"/>
            <w:bottom w:val="none" w:sz="0" w:space="0" w:color="auto"/>
            <w:right w:val="none" w:sz="0" w:space="0" w:color="auto"/>
          </w:divBdr>
        </w:div>
      </w:divsChild>
    </w:div>
    <w:div w:id="378556457">
      <w:bodyDiv w:val="1"/>
      <w:marLeft w:val="0"/>
      <w:marRight w:val="0"/>
      <w:marTop w:val="0"/>
      <w:marBottom w:val="0"/>
      <w:divBdr>
        <w:top w:val="none" w:sz="0" w:space="0" w:color="auto"/>
        <w:left w:val="none" w:sz="0" w:space="0" w:color="auto"/>
        <w:bottom w:val="none" w:sz="0" w:space="0" w:color="auto"/>
        <w:right w:val="none" w:sz="0" w:space="0" w:color="auto"/>
      </w:divBdr>
    </w:div>
    <w:div w:id="1542936697">
      <w:bodyDiv w:val="1"/>
      <w:marLeft w:val="0"/>
      <w:marRight w:val="0"/>
      <w:marTop w:val="0"/>
      <w:marBottom w:val="0"/>
      <w:divBdr>
        <w:top w:val="none" w:sz="0" w:space="0" w:color="auto"/>
        <w:left w:val="none" w:sz="0" w:space="0" w:color="auto"/>
        <w:bottom w:val="none" w:sz="0" w:space="0" w:color="auto"/>
        <w:right w:val="none" w:sz="0" w:space="0" w:color="auto"/>
      </w:divBdr>
    </w:div>
    <w:div w:id="1656372152">
      <w:bodyDiv w:val="1"/>
      <w:marLeft w:val="0"/>
      <w:marRight w:val="0"/>
      <w:marTop w:val="0"/>
      <w:marBottom w:val="0"/>
      <w:divBdr>
        <w:top w:val="none" w:sz="0" w:space="0" w:color="auto"/>
        <w:left w:val="none" w:sz="0" w:space="0" w:color="auto"/>
        <w:bottom w:val="none" w:sz="0" w:space="0" w:color="auto"/>
        <w:right w:val="none" w:sz="0" w:space="0" w:color="auto"/>
      </w:divBdr>
      <w:divsChild>
        <w:div w:id="1084376822">
          <w:marLeft w:val="0"/>
          <w:marRight w:val="0"/>
          <w:marTop w:val="0"/>
          <w:marBottom w:val="0"/>
          <w:divBdr>
            <w:top w:val="none" w:sz="0" w:space="0" w:color="auto"/>
            <w:left w:val="none" w:sz="0" w:space="0" w:color="auto"/>
            <w:bottom w:val="none" w:sz="0" w:space="0" w:color="auto"/>
            <w:right w:val="none" w:sz="0" w:space="0" w:color="auto"/>
          </w:divBdr>
          <w:divsChild>
            <w:div w:id="125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2022-11-19T12:54:00Z</dcterms:created>
  <dcterms:modified xsi:type="dcterms:W3CDTF">2022-11-19T12:54:00Z</dcterms:modified>
</cp:coreProperties>
</file>