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985"/>
      </w:tblGrid>
      <w:tr w:rsidR="00766C26" w:rsidRPr="00766C26" w:rsidTr="00766C26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Arial" w:eastAsia="Times New Roman" w:hAnsi="Arial" w:cs="Arial"/>
                <w:sz w:val="24"/>
                <w:szCs w:val="24"/>
              </w:rPr>
              <w:t>BỘ CÔNG AN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</w:t>
            </w:r>
          </w:p>
        </w:tc>
      </w:tr>
      <w:tr w:rsidR="00766C26" w:rsidRPr="00766C26" w:rsidTr="00766C26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Arial" w:eastAsia="Times New Roman" w:hAnsi="Arial" w:cs="Arial"/>
                <w:sz w:val="24"/>
                <w:szCs w:val="24"/>
              </w:rPr>
              <w:t>Số: …./QĐ-BCA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 ngày…tháng….năm 20</w:t>
            </w:r>
          </w:p>
        </w:tc>
      </w:tr>
    </w:tbl>
    <w:p w:rsidR="00766C26" w:rsidRPr="00766C26" w:rsidRDefault="00766C26" w:rsidP="00766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QUYẾT ĐỊNH</w:t>
      </w:r>
      <w:r w:rsidRPr="00766C26">
        <w:rPr>
          <w:rFonts w:ascii="Arial" w:eastAsia="Times New Roman" w:hAnsi="Arial" w:cs="Arial"/>
          <w:sz w:val="24"/>
          <w:szCs w:val="24"/>
        </w:rPr>
        <w:br/>
        <w:t>Về việc bổ nhiệm Giám định viên kỹ thuật hình sự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BỘ TRƯỞNG BỘ CÔNG AN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Căn cứ </w:t>
      </w:r>
      <w:hyperlink r:id="rId4" w:history="1">
        <w:r w:rsidRPr="00766C26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Giám định tư pháp</w:t>
        </w:r>
      </w:hyperlink>
      <w:r w:rsidRPr="00766C26">
        <w:rPr>
          <w:rFonts w:ascii="Arial" w:eastAsia="Times New Roman" w:hAnsi="Arial" w:cs="Arial"/>
          <w:sz w:val="24"/>
          <w:szCs w:val="24"/>
        </w:rPr>
        <w:t> năm 2012;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Căn cứ Nghị định số 01/2018/NĐ-CP ngày 06 tháng 8 năm 2018 của Chính phủ quy định chức năng, nhiệm vụ, quyền hạn và cơ cấu tổ chức của Bộ Công an;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Căn cứ Thông tư số…/2019/TT-BCA ngày…/…./2019 của Bộ trưởng Bộ Công an sửa đổi, bổ sung một số điều Thông tư số 33/2014/TT-BCA ngày 05 tháng 8 năm 2014 quy định chi tiết tiêu chuẩn, trình tự, thủ tục bổ nhiệm, miễn nhiệm giám định viên tư pháp kỹ thuật hình sự;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Theo đề nghị của Viện trưởng Viện Khoa học hình sự,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QUYẾT ĐỊNH: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Điều 1. Bổ nhiệm Giám định viên kỹ thuật hình sự, chuyên ngành…. đối với….. cá nhân thuộc Viện khoa học hình sự, Bộ Công an.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(có danh sách kèm theo)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Điều 2. Quyết định này có hiệu lực kể từ ngày ký.</w:t>
      </w:r>
    </w:p>
    <w:p w:rsidR="00766C26" w:rsidRPr="00766C26" w:rsidRDefault="00766C26" w:rsidP="00766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C26">
        <w:rPr>
          <w:rFonts w:ascii="Arial" w:eastAsia="Times New Roman" w:hAnsi="Arial" w:cs="Arial"/>
          <w:sz w:val="24"/>
          <w:szCs w:val="24"/>
        </w:rPr>
        <w:t>Điều 3. Các đồng chí Viện trưởng Viện khoa học hình sự, thủ trưởng các đơn vị có liên quan và các cá nhân có tên tại Điều 1 chịu trách nhiệm thi hành quyết định này./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66C26" w:rsidRPr="00766C26" w:rsidTr="00766C26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- Như Điều 3 (để thực hiện);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- Bộ Tư pháp (để lập danh sách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chung về giám định viên tư pháp);</w:t>
            </w:r>
            <w:r w:rsidRPr="00766C26">
              <w:rPr>
                <w:rFonts w:ascii="Arial" w:eastAsia="Times New Roman" w:hAnsi="Arial" w:cs="Arial"/>
                <w:sz w:val="24"/>
                <w:szCs w:val="24"/>
              </w:rPr>
              <w:br/>
              <w:t>- Lưu: VT, C09.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C26" w:rsidRPr="00766C26" w:rsidRDefault="00766C26" w:rsidP="0076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Arial" w:eastAsia="Times New Roman" w:hAnsi="Arial" w:cs="Arial"/>
                <w:sz w:val="24"/>
                <w:szCs w:val="24"/>
              </w:rPr>
              <w:t>BỘ TRƯỞNG</w:t>
            </w:r>
          </w:p>
          <w:p w:rsidR="00766C26" w:rsidRPr="00766C26" w:rsidRDefault="00766C26" w:rsidP="0076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6C2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CE4FA5" w:rsidRDefault="00CE4FA5">
      <w:bookmarkStart w:id="0" w:name="_GoBack"/>
      <w:bookmarkEnd w:id="0"/>
    </w:p>
    <w:sectPr w:rsidR="00CE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26"/>
    <w:rsid w:val="00766C26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5E5E-195B-45FB-8CB8-99BC5C7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6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6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giam-dinh-tu-phap-2012-5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2021-07-31T03:49:00Z</dcterms:created>
  <dcterms:modified xsi:type="dcterms:W3CDTF">2021-07-31T03:49:00Z</dcterms:modified>
</cp:coreProperties>
</file>