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2E" w:rsidRDefault="009F0E2E" w:rsidP="009F0E2E">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rsidR="009F0E2E" w:rsidRDefault="009F0E2E" w:rsidP="009F0E2E">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Hà Nội, ngày…tháng …năm…</w:t>
      </w:r>
    </w:p>
    <w:p w:rsidR="009F0E2E" w:rsidRDefault="009F0E2E" w:rsidP="009F0E2E">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XIN THAY ĐỔI THẨM PHÁN</w:t>
      </w:r>
    </w:p>
    <w:p w:rsidR="009F0E2E" w:rsidRPr="00AD70E8" w:rsidRDefault="009F0E2E" w:rsidP="009F0E2E">
      <w:pPr>
        <w:pStyle w:val="NormalWeb"/>
        <w:shd w:val="clear" w:color="auto" w:fill="FFFFFF"/>
        <w:spacing w:before="0" w:beforeAutospacing="0" w:after="105" w:afterAutospacing="0"/>
        <w:jc w:val="center"/>
        <w:textAlignment w:val="baseline"/>
        <w:rPr>
          <w:color w:val="000000"/>
          <w:lang w:val="vi-VN"/>
        </w:rPr>
      </w:pPr>
      <w:r>
        <w:rPr>
          <w:rStyle w:val="Strong"/>
          <w:color w:val="000000"/>
          <w:shd w:val="clear" w:color="auto" w:fill="FFFFFF"/>
        </w:rPr>
        <w:t xml:space="preserve">Kính gửi: TÒA ÁN NHÂN DÂN QUẬN </w:t>
      </w:r>
      <w:r>
        <w:rPr>
          <w:rStyle w:val="Strong"/>
          <w:color w:val="000000"/>
          <w:shd w:val="clear" w:color="auto" w:fill="FFFFFF"/>
          <w:lang w:val="vi-VN"/>
        </w:rPr>
        <w:t>............</w:t>
      </w:r>
    </w:p>
    <w:p w:rsidR="009F0E2E" w:rsidRPr="00AD70E8" w:rsidRDefault="009F0E2E" w:rsidP="009F0E2E">
      <w:pPr>
        <w:pStyle w:val="NormalWeb"/>
        <w:shd w:val="clear" w:color="auto" w:fill="FFFFFF"/>
        <w:spacing w:before="0" w:beforeAutospacing="0" w:after="105" w:afterAutospacing="0"/>
        <w:jc w:val="both"/>
        <w:textAlignment w:val="baseline"/>
        <w:rPr>
          <w:color w:val="000000"/>
          <w:lang w:val="vi-VN"/>
        </w:rPr>
      </w:pPr>
      <w:r w:rsidRPr="00AD70E8">
        <w:rPr>
          <w:color w:val="000000"/>
          <w:shd w:val="clear" w:color="auto" w:fill="FFFFFF"/>
          <w:lang w:val="vi-VN"/>
        </w:rPr>
        <w:t>Căn cứ </w:t>
      </w:r>
      <w:r w:rsidRPr="00AD70E8">
        <w:rPr>
          <w:rStyle w:val="Emphasis"/>
          <w:i w:val="0"/>
          <w:color w:val="000000"/>
          <w:shd w:val="clear" w:color="auto" w:fill="FFFFFF"/>
          <w:lang w:val="vi-VN"/>
        </w:rPr>
        <w:t>Bộ luật Tố tụng dân sự 2015</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là: Nguyễn Văn A                                          Sinh ngày: …/…/…</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 xml:space="preserve">Giấy chứng minh nhân dân số </w:t>
      </w:r>
      <w:r>
        <w:rPr>
          <w:color w:val="000000"/>
          <w:shd w:val="clear" w:color="auto" w:fill="FFFFFF"/>
          <w:lang w:val="vi-VN"/>
        </w:rPr>
        <w:t>.................</w:t>
      </w:r>
      <w:r>
        <w:rPr>
          <w:color w:val="000000"/>
          <w:shd w:val="clear" w:color="auto" w:fill="FFFFFF"/>
        </w:rPr>
        <w:t xml:space="preserve"> cấp ngày …/…/… tại Cục cảnh sát ĐKQL cư trú và DLQG về dân cư</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Hộ khẩu thường trú: số…, phố……, phường….., quận……, thành phố Hà Nội</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Chỗ ở hiện tại: số…, phố….., phường….., quận…., thành phố Hà Nội</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Điện thoại liên hệ: 0123456789</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trình bày với Qúy cơ quan một sự việc như sau:</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Ngày …/…/…, tôi có đến Tòa án nhân dân quận A gửi đơn khởi kiện về việc tranh cháp hợp đồng tín dụng giữa tôi và ngân hàng B. Đến ngày …/…/…, tôi có nhận được thông báo thụ lý vụ án số …/TB-TA và giấy triệu tập đương sự số …/GTT của Thẩm phán Nguyễn Thị C – Tóa án nhân dân quận A theo đường bưu điện. Ngày …/…/…, tôi có đến Tòa theo giấy triệu tập để lấy lời khai và đối chất bên phía Ngân hàng. Trong quá trình lấy lời khai và đối chất, tôi nhận thấy rằng thẩm phán Nguyễn Thị C có những lời nói không mang tính khách quan và luôn tỏ ra đồng tính với các lý do mà bên Ngân hàng đưa ra. Đến ngày …/…/…, tôi đến Tòa để hòa giải với bên Ngân hàng thì thẩm phán C không hề có ý định cho chúng tôi hòa giải và nói rằng sẽ đưa vụ án này ra xét xử.</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Căn cứ vào các cơ sở pháp lý sau:</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Khoản 14 Điều 70 Bộ luật Tố tụng dân sự 2015</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b/>
          <w:i w:val="0"/>
          <w:color w:val="000000"/>
          <w:shd w:val="clear" w:color="auto" w:fill="FFFFFF"/>
        </w:rPr>
        <w:t>“Điều 70. Quyền, nghĩa vụ của đương sự</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b/>
          <w:i w:val="0"/>
          <w:color w:val="000000"/>
          <w:shd w:val="clear" w:color="auto" w:fill="FFFFFF"/>
        </w:rPr>
        <w:t>…</w:t>
      </w:r>
    </w:p>
    <w:p w:rsidR="009F0E2E" w:rsidRDefault="009F0E2E" w:rsidP="009F0E2E">
      <w:pPr>
        <w:numPr>
          <w:ilvl w:val="0"/>
          <w:numId w:val="1"/>
        </w:numPr>
        <w:tabs>
          <w:tab w:val="left" w:pos="720"/>
        </w:tabs>
        <w:ind w:left="630"/>
        <w:jc w:val="both"/>
        <w:textAlignment w:val="baseline"/>
        <w:rPr>
          <w:rFonts w:ascii="Times New Roman" w:hAnsi="Times New Roman" w:cs="Times New Roman"/>
          <w:sz w:val="24"/>
          <w:szCs w:val="24"/>
        </w:rPr>
      </w:pPr>
      <w:r>
        <w:rPr>
          <w:rStyle w:val="Emphasis"/>
          <w:rFonts w:ascii="Times New Roman" w:hAnsi="Times New Roman" w:cs="Times New Roman"/>
          <w:i w:val="0"/>
          <w:color w:val="000000"/>
          <w:sz w:val="24"/>
          <w:szCs w:val="24"/>
          <w:shd w:val="clear" w:color="auto" w:fill="FFFFFF"/>
        </w:rPr>
        <w:t>Yêu cầu thay đổi người tiến hành tố tụng, người tham gia tố tụng theo quy định của Bộ luật này</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Khoản 3 Điều 52 Bộ luật Tố tụng dân sự 2015</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b/>
          <w:i w:val="0"/>
          <w:color w:val="000000"/>
          <w:shd w:val="clear" w:color="auto" w:fill="FFFFFF"/>
        </w:rPr>
        <w:t>“Điều 52. Những trường hợp phải từ chối hoặc thay đổi người tiến hành tố tụng</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Người tiến hành tố tụng phải từ chối tiến hành tố tụng hoặc bị thay đổi trong những trường hợp sau đây:</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Họ đồng thời là đương sự, người đại diện, người thân thích của đương sự.</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Họ đã tham gia tố tụng với tư cách là người bảo vệ quyền và lợi ích hợp pháp của đương sự, người làm chứng, người giám định, người phiên dịch trong cùng vụ việc đó.</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Có căn cứ rõ ràng cho rằng họ có thể không vô tư trong khi làm nhiệm vụ.”</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Khoản 1 Điều 53 Bộ luật Tố tụng dân sự 2015</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b/>
          <w:i w:val="0"/>
          <w:color w:val="000000"/>
          <w:shd w:val="clear" w:color="auto" w:fill="FFFFFF"/>
        </w:rPr>
        <w:t>“Điều 53. Thay đổi Thẩm phán, Hội thẩm nhân dân</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lastRenderedPageBreak/>
        <w:t>Thẩm phán, Hội thẩm nhân dân phải từ chối tiến hành tố tụng hoặc bị thay đổi trong những trường hợp sau đây:</w:t>
      </w:r>
    </w:p>
    <w:p w:rsidR="009F0E2E" w:rsidRDefault="009F0E2E" w:rsidP="009F0E2E">
      <w:pPr>
        <w:numPr>
          <w:ilvl w:val="0"/>
          <w:numId w:val="2"/>
        </w:numPr>
        <w:tabs>
          <w:tab w:val="left" w:pos="720"/>
        </w:tabs>
        <w:ind w:left="630"/>
        <w:jc w:val="both"/>
        <w:textAlignment w:val="baseline"/>
        <w:rPr>
          <w:rFonts w:ascii="Times New Roman" w:hAnsi="Times New Roman" w:cs="Times New Roman"/>
          <w:sz w:val="24"/>
          <w:szCs w:val="24"/>
        </w:rPr>
      </w:pPr>
      <w:r>
        <w:rPr>
          <w:rStyle w:val="Emphasis"/>
          <w:rFonts w:ascii="Times New Roman" w:hAnsi="Times New Roman" w:cs="Times New Roman"/>
          <w:i w:val="0"/>
          <w:color w:val="000000"/>
          <w:sz w:val="24"/>
          <w:szCs w:val="24"/>
          <w:shd w:val="clear" w:color="auto" w:fill="FFFFFF"/>
        </w:rPr>
        <w:t>Thuộc một trong những trường hợp quy định tại Điều 52 của Bộ luật này.</w:t>
      </w:r>
    </w:p>
    <w:p w:rsidR="009F0E2E" w:rsidRDefault="009F0E2E" w:rsidP="009F0E2E">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Do vậy, tôi kính đề nghị Qúy cơ quan xem xét, xác minh tình hình thực tế để tôi có thể thay đổi thẩm phán giải quyết vụ án dân sự tranh chấp hợp đồng tín dụng nhằm đảm bảo quyền và lợi ích chính đáng của tôi</w:t>
      </w:r>
    </w:p>
    <w:p w:rsidR="009F0E2E" w:rsidRDefault="009F0E2E" w:rsidP="009F0E2E">
      <w:pPr>
        <w:pStyle w:val="NormalWeb"/>
        <w:shd w:val="clear" w:color="auto" w:fill="FFFFFF"/>
        <w:spacing w:before="0" w:beforeAutospacing="0" w:after="105" w:afterAutospacing="0"/>
        <w:jc w:val="both"/>
        <w:textAlignment w:val="baseline"/>
        <w:rPr>
          <w:color w:val="000000"/>
        </w:rPr>
      </w:pPr>
      <w:r>
        <w:rPr>
          <w:color w:val="000000"/>
          <w:shd w:val="clear" w:color="auto" w:fill="FFFFFF"/>
        </w:rPr>
        <w:t>Kính mong Qúy cơ quan xem xét và giải quyết nhanh chóng đề nghị của tôi.</w:t>
      </w:r>
    </w:p>
    <w:p w:rsidR="009F0E2E" w:rsidRDefault="009F0E2E" w:rsidP="009F0E2E">
      <w:pPr>
        <w:pStyle w:val="NormalWeb"/>
        <w:shd w:val="clear" w:color="auto" w:fill="FFFFFF"/>
        <w:spacing w:before="0" w:beforeAutospacing="0" w:after="105" w:afterAutospacing="0"/>
        <w:jc w:val="both"/>
        <w:textAlignment w:val="baseline"/>
        <w:rPr>
          <w:rFonts w:eastAsia="Times New Roman"/>
          <w:color w:val="000000"/>
        </w:rPr>
      </w:pPr>
      <w:r>
        <w:rPr>
          <w:color w:val="000000"/>
          <w:shd w:val="clear" w:color="auto" w:fill="FFFFFF"/>
        </w:rPr>
        <w:t>Tôi xin chân thành cảm ơn!</w:t>
      </w:r>
    </w:p>
    <w:tbl>
      <w:tblPr>
        <w:tblStyle w:val="TableGrid"/>
        <w:tblW w:w="0" w:type="auto"/>
        <w:tblInd w:w="0" w:type="dxa"/>
        <w:tblLayout w:type="fixed"/>
        <w:tblLook w:val="0000" w:firstRow="0" w:lastRow="0" w:firstColumn="0" w:lastColumn="0" w:noHBand="0" w:noVBand="0"/>
      </w:tblPr>
      <w:tblGrid>
        <w:gridCol w:w="4261"/>
        <w:gridCol w:w="4261"/>
      </w:tblGrid>
      <w:tr w:rsidR="009F0E2E" w:rsidTr="00E301CF">
        <w:tc>
          <w:tcPr>
            <w:tcW w:w="4261" w:type="dxa"/>
            <w:tcBorders>
              <w:top w:val="nil"/>
              <w:left w:val="nil"/>
              <w:bottom w:val="nil"/>
              <w:right w:val="nil"/>
            </w:tcBorders>
          </w:tcPr>
          <w:p w:rsidR="009F0E2E" w:rsidRDefault="009F0E2E" w:rsidP="00E301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Bên A</w:t>
            </w:r>
            <w:r>
              <w:rPr>
                <w:rFonts w:ascii="Times New Roman" w:eastAsia="Times New Roman" w:hAnsi="Times New Roman" w:cs="Times New Roman"/>
                <w:color w:val="000000"/>
                <w:sz w:val="24"/>
                <w:szCs w:val="24"/>
              </w:rPr>
              <w:br/>
            </w:r>
            <w:r>
              <w:rPr>
                <w:rFonts w:ascii="Times New Roman" w:eastAsia="Times New Roman" w:hAnsi="Times New Roman" w:cs="Times New Roman"/>
                <w:i/>
                <w:iCs/>
                <w:color w:val="000000"/>
                <w:sz w:val="24"/>
                <w:szCs w:val="24"/>
              </w:rPr>
              <w:t>(Ký và ghi rõ họ tên)</w:t>
            </w:r>
          </w:p>
        </w:tc>
        <w:tc>
          <w:tcPr>
            <w:tcW w:w="4261" w:type="dxa"/>
            <w:tcBorders>
              <w:top w:val="nil"/>
              <w:left w:val="nil"/>
              <w:bottom w:val="nil"/>
              <w:right w:val="nil"/>
            </w:tcBorders>
          </w:tcPr>
          <w:p w:rsidR="009F0E2E" w:rsidRDefault="009F0E2E" w:rsidP="00E301C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Bên B</w:t>
            </w:r>
            <w:r>
              <w:rPr>
                <w:rFonts w:ascii="Times New Roman" w:eastAsia="Times New Roman" w:hAnsi="Times New Roman" w:cs="Times New Roman"/>
                <w:color w:val="000000"/>
                <w:sz w:val="24"/>
                <w:szCs w:val="24"/>
              </w:rPr>
              <w:br/>
            </w:r>
            <w:r>
              <w:rPr>
                <w:rFonts w:ascii="Times New Roman" w:eastAsia="Times New Roman" w:hAnsi="Times New Roman" w:cs="Times New Roman"/>
                <w:i/>
                <w:iCs/>
                <w:color w:val="000000"/>
                <w:sz w:val="24"/>
                <w:szCs w:val="24"/>
              </w:rPr>
              <w:t>(Ký và ghi rõ họ tên)</w:t>
            </w:r>
          </w:p>
        </w:tc>
      </w:tr>
    </w:tbl>
    <w:p w:rsidR="009F0E2E" w:rsidRDefault="009F0E2E" w:rsidP="009F0E2E">
      <w:pPr>
        <w:spacing w:beforeLines="50" w:before="120" w:afterLines="50" w:after="120" w:line="26" w:lineRule="atLeast"/>
        <w:rPr>
          <w:rFonts w:ascii="Times New Roman" w:eastAsia="Times New Roman" w:hAnsi="Times New Roman" w:cs="Times New Roman"/>
          <w:color w:val="000000"/>
          <w:sz w:val="24"/>
          <w:szCs w:val="24"/>
        </w:rPr>
      </w:pPr>
    </w:p>
    <w:p w:rsidR="00AD7AF1" w:rsidRDefault="00AD7AF1">
      <w:bookmarkStart w:id="0" w:name="_GoBack"/>
      <w:bookmarkEnd w:id="0"/>
    </w:p>
    <w:sectPr w:rsidR="00AD7AF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C62E4"/>
    <w:multiLevelType w:val="multilevel"/>
    <w:tmpl w:val="4CAC62E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nsid w:val="55C7292D"/>
    <w:multiLevelType w:val="multilevel"/>
    <w:tmpl w:val="55C7292D"/>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2E"/>
    <w:rsid w:val="009F0E2E"/>
    <w:rsid w:val="00AD7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FC21A-83B6-4224-B538-AD1FE9F7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E2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F0E2E"/>
    <w:rPr>
      <w:b/>
      <w:bCs/>
    </w:rPr>
  </w:style>
  <w:style w:type="character" w:styleId="Emphasis">
    <w:name w:val="Emphasis"/>
    <w:basedOn w:val="DefaultParagraphFont"/>
    <w:qFormat/>
    <w:rsid w:val="009F0E2E"/>
    <w:rPr>
      <w:i/>
      <w:iCs/>
    </w:rPr>
  </w:style>
  <w:style w:type="paragraph" w:styleId="NormalWeb">
    <w:name w:val="Normal (Web)"/>
    <w:rsid w:val="009F0E2E"/>
    <w:pPr>
      <w:spacing w:before="100" w:beforeAutospacing="1" w:after="100" w:afterAutospacing="1" w:line="240" w:lineRule="auto"/>
    </w:pPr>
    <w:rPr>
      <w:rFonts w:ascii="Times New Roman" w:eastAsia="SimSun" w:hAnsi="Times New Roman" w:cs="Times New Roman"/>
      <w:sz w:val="24"/>
      <w:szCs w:val="24"/>
    </w:rPr>
  </w:style>
  <w:style w:type="table" w:styleId="TableGrid">
    <w:name w:val="Table Grid"/>
    <w:basedOn w:val="TableNormal"/>
    <w:rsid w:val="009F0E2E"/>
    <w:pPr>
      <w:widowControl w:val="0"/>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2021-05-06T03:46:00Z</dcterms:created>
  <dcterms:modified xsi:type="dcterms:W3CDTF">2021-05-06T03:48:00Z</dcterms:modified>
</cp:coreProperties>
</file>