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A9" w:rsidRPr="00BC64A9" w:rsidRDefault="00BC64A9" w:rsidP="00BC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CỘNG HÒA XÃ HỘI CHỦ NGHĨA VIỆT NAM</w:t>
      </w:r>
    </w:p>
    <w:p w:rsidR="00BC64A9" w:rsidRPr="00BC64A9" w:rsidRDefault="00BC64A9" w:rsidP="00BC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Độc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lập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–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Tự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do –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Hạnh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phúc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———–o0o———-</w:t>
      </w:r>
    </w:p>
    <w:p w:rsidR="00BC64A9" w:rsidRPr="00BC64A9" w:rsidRDefault="00BC64A9" w:rsidP="00BC6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Hà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Nội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,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ngày</w:t>
      </w:r>
      <w:proofErr w:type="spellEnd"/>
      <w:proofErr w:type="gram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….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tháng</w:t>
      </w:r>
      <w:proofErr w:type="spellEnd"/>
      <w:proofErr w:type="gram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….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năm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….</w:t>
      </w:r>
    </w:p>
    <w:p w:rsidR="00BC64A9" w:rsidRPr="00BC64A9" w:rsidRDefault="00BC64A9" w:rsidP="00BC64A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60606"/>
          <w:sz w:val="27"/>
          <w:szCs w:val="27"/>
        </w:rPr>
      </w:pPr>
      <w:r w:rsidRPr="005971CB">
        <w:rPr>
          <w:rFonts w:ascii="Times New Roman" w:eastAsia="Times New Roman" w:hAnsi="Times New Roman" w:cs="Times New Roman"/>
          <w:b/>
          <w:bCs/>
          <w:color w:val="060606"/>
          <w:sz w:val="27"/>
          <w:szCs w:val="27"/>
        </w:rPr>
        <w:t>BIÊN BẢN SỐ … NGHIỆM THU NỀN ĐƯỜNG </w:t>
      </w:r>
      <w:r w:rsidR="005971CB" w:rsidRPr="005971CB">
        <w:rPr>
          <w:rFonts w:ascii="Times New Roman" w:eastAsia="Times New Roman" w:hAnsi="Times New Roman" w:cs="Times New Roman"/>
          <w:b/>
          <w:bCs/>
          <w:color w:val="060606"/>
          <w:sz w:val="27"/>
          <w:szCs w:val="27"/>
        </w:rPr>
        <w:t xml:space="preserve">GIAO THÔNG </w:t>
      </w:r>
    </w:p>
    <w:p w:rsidR="00BC64A9" w:rsidRPr="00BC64A9" w:rsidRDefault="00BC64A9" w:rsidP="00BC64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1.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Thiết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bị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/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Cụm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Thiết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bị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được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nghiệm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thu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:</w:t>
      </w:r>
    </w:p>
    <w:p w:rsidR="00BC64A9" w:rsidRPr="00BC64A9" w:rsidRDefault="00BC64A9" w:rsidP="00BC6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dành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phương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tiện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giao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……………………… </w:t>
      </w:r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(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ghi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rõ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địa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chỉ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của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đường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có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sử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dụng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nền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đường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).</w:t>
      </w:r>
    </w:p>
    <w:p w:rsidR="00BC64A9" w:rsidRPr="00BC64A9" w:rsidRDefault="00BC64A9" w:rsidP="00BC64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2.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Thành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phần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trực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tiếp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nghiệm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thu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: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Người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giám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giao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địa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chỉ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…</w:t>
      </w:r>
      <w:proofErr w:type="gram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…..</w:t>
      </w:r>
      <w:proofErr w:type="gram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………..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Chủ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tư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b)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Người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phụ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trách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kỹ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thuật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trực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tiếp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(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Trong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trường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hợp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hợp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đồng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tổng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thầu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,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người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giám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sát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thi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công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xây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dựng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công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trình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của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chủ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đầu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tư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tham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dự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để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kiểm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tra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công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tác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nghiệm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thu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công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việc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xây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dựng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của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tổng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thầu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với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nhà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thầu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phụ</w:t>
      </w:r>
      <w:proofErr w:type="spellEnd"/>
      <w:r w:rsidRPr="005971CB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</w:rPr>
        <w:t>).</w:t>
      </w:r>
    </w:p>
    <w:p w:rsidR="00BC64A9" w:rsidRPr="00BC64A9" w:rsidRDefault="00BC64A9" w:rsidP="00BC64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3.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Thời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gian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nghiệm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proofErr w:type="gram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thu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:</w:t>
      </w:r>
      <w:proofErr w:type="gram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Bắt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proofErr w:type="gram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:</w:t>
      </w:r>
      <w:proofErr w:type="gram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             ……….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ngày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……….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tháng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………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năm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……….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Kết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proofErr w:type="gram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thúc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:</w:t>
      </w:r>
      <w:proofErr w:type="gram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           ………..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ngày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……….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tháng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………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năm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……….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 …………………</w:t>
      </w:r>
    </w:p>
    <w:p w:rsidR="00BC64A9" w:rsidRPr="00BC64A9" w:rsidRDefault="00BC64A9" w:rsidP="00BC64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4.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Đánh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giá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công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việc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xây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dựng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đã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thực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hiện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</w:rPr>
        <w:t>: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Tài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liệu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làm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căn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cứ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nghiệm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Đơn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nhận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đã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hoàn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thành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làm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dành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phương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tiện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giao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người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phụ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trách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………</w:t>
      </w:r>
      <w:proofErr w:type="gram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…..</w:t>
      </w:r>
      <w:proofErr w:type="gram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Đơn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xin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nghiệm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Chủ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thầu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Biên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bản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dựng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Tiêu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chuẩn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quốc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TCVN </w:t>
      </w:r>
      <w:proofErr w:type="gram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9436 :</w:t>
      </w:r>
      <w:proofErr w:type="gram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2012</w:t>
      </w: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ô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tô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nghiệm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lastRenderedPageBreak/>
        <w:t xml:space="preserve">b)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Về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chất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lượng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lắp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đặt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thiết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bị</w:t>
      </w:r>
      <w:proofErr w:type="spell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– 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được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đúng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kích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thước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yếu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tố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học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như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trong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thiết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kế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. Sai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số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phép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được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định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như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sau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4579"/>
        <w:gridCol w:w="2390"/>
        <w:gridCol w:w="4132"/>
        <w:gridCol w:w="526"/>
      </w:tblGrid>
      <w:tr w:rsidR="00BC64A9" w:rsidRPr="00BC64A9" w:rsidTr="00BC64A9">
        <w:tc>
          <w:tcPr>
            <w:tcW w:w="2265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Yếu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tố</w:t>
            </w:r>
            <w:proofErr w:type="spellEnd"/>
          </w:p>
        </w:tc>
        <w:tc>
          <w:tcPr>
            <w:tcW w:w="4680" w:type="dxa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Loại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và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hạng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</w:p>
        </w:tc>
        <w:tc>
          <w:tcPr>
            <w:tcW w:w="2775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Cách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kiểm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tra</w:t>
            </w:r>
            <w:proofErr w:type="spellEnd"/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cao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tốc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I, II, III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IV, V, VI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1.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Bề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rộng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đỉnh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được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nhỏ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được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nhỏ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dài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vị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trí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2.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ngang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siêu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cao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(%)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± 0,3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± 0,5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ngang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bằng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thủy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bình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3.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(%)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được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+10 (*)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được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+15 (*)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20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vị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trí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bằng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loại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4.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Vị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trí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trục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tim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tuyến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(mm)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50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100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TD (***), TC (****)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của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cong.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5. Cao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dọc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(mm)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+10; -15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(+10; -20) (**)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+10; -20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(+10; -30) (**)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trục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tim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tuyến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6.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bằng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phẳng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bằng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khe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hở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lớn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nhất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dưới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thước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3 m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(mm)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đào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(mm)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30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50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50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80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áp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dụng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đá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cùng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ngang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thước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3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tiếp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ta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luy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để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phát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hiện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khe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hở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lớn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nhất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20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ngang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7.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loại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rãnh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xây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đá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hoặc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chưa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gia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cố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: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lastRenderedPageBreak/>
              <w:t xml:space="preserve">– Cao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đáy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rãnh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(mm)</w:t>
            </w:r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+0, -20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+0, -30</w:t>
            </w:r>
          </w:p>
        </w:tc>
        <w:tc>
          <w:tcPr>
            <w:tcW w:w="27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cao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hai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điểm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bằng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máy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thủy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bình</w:t>
            </w:r>
            <w:proofErr w:type="spellEnd"/>
          </w:p>
        </w:tc>
        <w:tc>
          <w:tcPr>
            <w:tcW w:w="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226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Kích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thước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</w:p>
        </w:tc>
        <w:tc>
          <w:tcPr>
            <w:tcW w:w="30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nhỏ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nhỏ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hơn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kế</w:t>
            </w:r>
            <w:proofErr w:type="spellEnd"/>
          </w:p>
        </w:tc>
        <w:tc>
          <w:tcPr>
            <w:tcW w:w="2805" w:type="dxa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Cứ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50 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cắt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ngang</w:t>
            </w:r>
            <w:proofErr w:type="spellEnd"/>
          </w:p>
        </w:tc>
      </w:tr>
    </w:tbl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– 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Mặt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mỗi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lớp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đất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đắp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mặt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trên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cùng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sau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(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cả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đào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đắp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được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phẳng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qui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định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dưới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+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Đối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cao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tốc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cấp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I,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cấp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II,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phẳng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mức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100%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số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khe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hở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dưới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thước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dài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3 m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vượt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quá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15 mm;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+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Đối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ô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tô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cấp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bằng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phẳng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mức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70%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số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khe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hở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được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dưới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thước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dài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3 m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vượt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quá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15 mm,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còn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vượt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quá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20 mm.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–</w:t>
      </w: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Loại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đất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sức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chịu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vật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liệu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làm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thỏa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mãn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yêu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qui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định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tại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điều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5.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độ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chặt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đầm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nén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như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sau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832"/>
        <w:gridCol w:w="2828"/>
        <w:gridCol w:w="2202"/>
        <w:gridCol w:w="2597"/>
        <w:gridCol w:w="2597"/>
        <w:gridCol w:w="1461"/>
      </w:tblGrid>
      <w:tr w:rsidR="00BC64A9" w:rsidRPr="00BC64A9" w:rsidTr="00BC64A9">
        <w:tc>
          <w:tcPr>
            <w:tcW w:w="3975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Loại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phận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</w:p>
        </w:tc>
        <w:tc>
          <w:tcPr>
            <w:tcW w:w="1425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Phạm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vi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sâu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tính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từ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đáy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áo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trở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xuống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(cm)</w:t>
            </w:r>
          </w:p>
        </w:tc>
        <w:tc>
          <w:tcPr>
            <w:tcW w:w="4305" w:type="dxa"/>
            <w:gridSpan w:val="3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K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của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</w:p>
        </w:tc>
      </w:tr>
      <w:tr w:rsidR="00BC64A9" w:rsidRPr="00BC64A9" w:rsidTr="00BC64A9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cao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tốc</w:t>
            </w:r>
            <w:proofErr w:type="spellEnd"/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I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IV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V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VI</w:t>
            </w:r>
          </w:p>
        </w:tc>
      </w:tr>
      <w:tr w:rsidR="00BC64A9" w:rsidRPr="00BC64A9" w:rsidTr="00BC64A9">
        <w:tc>
          <w:tcPr>
            <w:tcW w:w="960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</w:p>
        </w:tc>
        <w:tc>
          <w:tcPr>
            <w:tcW w:w="3015" w:type="dxa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áo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dày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60cm</w:t>
            </w: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1,0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0,98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3015" w:type="dxa"/>
            <w:gridSpan w:val="2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áo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dày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dưới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60cm</w:t>
            </w: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1,0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0,98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dưới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chiều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sâu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nói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</w:p>
        </w:tc>
        <w:tc>
          <w:tcPr>
            <w:tcW w:w="181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Cho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hết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thân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hợp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vật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liệu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).</w:t>
            </w: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0,98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0,93</w:t>
            </w:r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Đất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tự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(*)</w:t>
            </w: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Cho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80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0,93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0,90</w:t>
            </w:r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Cho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100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3975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lastRenderedPageBreak/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đào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đào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(**))</w:t>
            </w: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1,0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0,98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</w:tr>
      <w:tr w:rsidR="00BC64A9" w:rsidRPr="00BC64A9" w:rsidTr="00BC64A9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30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80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0,93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0,90</w:t>
            </w:r>
          </w:p>
        </w:tc>
      </w:tr>
      <w:tr w:rsidR="00BC64A9" w:rsidRPr="00BC64A9" w:rsidTr="00BC64A9"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142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30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100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≥ 0,95</w:t>
            </w:r>
          </w:p>
        </w:tc>
        <w:tc>
          <w:tcPr>
            <w:tcW w:w="168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</w:tc>
      </w:tr>
      <w:tr w:rsidR="00BC64A9" w:rsidRPr="00BC64A9" w:rsidTr="00BC64A9">
        <w:tc>
          <w:tcPr>
            <w:tcW w:w="9690" w:type="dxa"/>
            <w:gridSpan w:val="7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(*)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hợp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này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hợp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đắp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vực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dụng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có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một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phần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nằm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phạm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vi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đất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;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(**)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Nếu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nền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nhiên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đạt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độ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chặt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yêu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cầu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ở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Bảng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2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thì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phải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đào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phạm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vi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không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đạt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rồi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đầm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nén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lại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đạt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yêu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cầu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.</w:t>
            </w:r>
          </w:p>
        </w:tc>
      </w:tr>
    </w:tbl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–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Vật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liệu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đường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: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Vật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liệu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đắp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nền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có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sức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chịu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tải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CBR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nhỏ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nhất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như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sau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: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3567"/>
        <w:gridCol w:w="2614"/>
        <w:gridCol w:w="3054"/>
      </w:tblGrid>
      <w:tr w:rsidR="00BC64A9" w:rsidRPr="00BC64A9" w:rsidTr="00BC64A9">
        <w:tc>
          <w:tcPr>
            <w:tcW w:w="3540" w:type="dxa"/>
            <w:vMerge w:val="restar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Phạm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vi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tính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từ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đáy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áo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trở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xuống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Sức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chịu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tải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(CBR%)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tối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thiểu</w:t>
            </w:r>
            <w:proofErr w:type="spellEnd"/>
          </w:p>
        </w:tc>
      </w:tr>
      <w:tr w:rsidR="00BC64A9" w:rsidRPr="00BC64A9" w:rsidTr="00BC64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cho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cao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tốc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I,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II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cho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III,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IV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có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sử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dụng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mặt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cao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A1</w:t>
            </w:r>
          </w:p>
        </w:tc>
        <w:tc>
          <w:tcPr>
            <w:tcW w:w="18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cho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các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khác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không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sử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dụng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mặt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đường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cấp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cao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A1</w:t>
            </w:r>
          </w:p>
        </w:tc>
      </w:tr>
      <w:tr w:rsidR="00BC64A9" w:rsidRPr="00BC64A9" w:rsidTr="00BC64A9">
        <w:tc>
          <w:tcPr>
            <w:tcW w:w="354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đắp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 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30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cùng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Từ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30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80 cm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Từ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80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150 cm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Từ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150cm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trở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xuống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không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đào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không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đắp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và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nền</w:t>
            </w:r>
            <w:proofErr w:type="spellEnd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đào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30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trên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cùng</w:t>
            </w:r>
            <w:proofErr w:type="spellEnd"/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–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Từ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30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100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cao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tốc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I,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II,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III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và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đến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80 cm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với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đường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các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cấp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khác</w:t>
            </w:r>
            <w:proofErr w:type="spellEnd"/>
          </w:p>
        </w:tc>
        <w:tc>
          <w:tcPr>
            <w:tcW w:w="219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8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4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8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</w:t>
            </w:r>
          </w:p>
        </w:tc>
        <w:tc>
          <w:tcPr>
            <w:tcW w:w="160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6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4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2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6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4</w:t>
            </w:r>
          </w:p>
        </w:tc>
        <w:tc>
          <w:tcPr>
            <w:tcW w:w="187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2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5</w:t>
            </w:r>
          </w:p>
          <w:p w:rsidR="00BC64A9" w:rsidRPr="00BC64A9" w:rsidRDefault="00BC64A9" w:rsidP="00BC6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3</w:t>
            </w:r>
          </w:p>
        </w:tc>
      </w:tr>
    </w:tbl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c)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ý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kiến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nếu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có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………</w:t>
      </w:r>
      <w:proofErr w:type="gram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…..</w:t>
      </w:r>
      <w:proofErr w:type="gramEnd"/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lastRenderedPageBreak/>
        <w:t xml:space="preserve">d) Ý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kiến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người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giám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sát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trình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chủ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tư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về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nghiệm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việc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của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tổng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đối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với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phụ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.</w:t>
      </w:r>
    </w:p>
    <w:p w:rsidR="00BC64A9" w:rsidRPr="00BC64A9" w:rsidRDefault="00BC64A9" w:rsidP="00BC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5.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Kết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luận</w:t>
      </w:r>
      <w:proofErr w:type="spellEnd"/>
      <w:r w:rsidRPr="005971C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:</w:t>
      </w:r>
    </w:p>
    <w:p w:rsidR="00BC64A9" w:rsidRPr="00BC64A9" w:rsidRDefault="00BC64A9" w:rsidP="00BC6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Chấp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nhận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hay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chấp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nhận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nghiệm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đồng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ý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cho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triển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khai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việc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tiếp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theo.</w:t>
      </w:r>
      <w:proofErr w:type="spellEnd"/>
    </w:p>
    <w:p w:rsidR="00BC64A9" w:rsidRPr="00BC64A9" w:rsidRDefault="00BC64A9" w:rsidP="00BC64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Yêu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sửa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chữa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hoàn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thiện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công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việc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xây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dựng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đã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thực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hiện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và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yêu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cầu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khác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nếu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có</w:t>
      </w:r>
      <w:proofErr w:type="spellEnd"/>
      <w:r w:rsidRPr="00BC64A9">
        <w:rPr>
          <w:rFonts w:ascii="Times New Roman" w:eastAsia="Times New Roman" w:hAnsi="Times New Roman" w:cs="Times New Roman"/>
          <w:color w:val="2F2F2F"/>
          <w:sz w:val="24"/>
          <w:szCs w:val="24"/>
        </w:rPr>
        <w:t>.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BC64A9" w:rsidRPr="00BC64A9" w:rsidTr="00BC64A9">
        <w:tc>
          <w:tcPr>
            <w:tcW w:w="319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GIÁM SÁT THI CÔNG XÂY DỰNG 1</w:t>
            </w:r>
          </w:p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Ghi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rõ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họ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chức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vụ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)</w:t>
            </w:r>
          </w:p>
        </w:tc>
        <w:tc>
          <w:tcPr>
            <w:tcW w:w="319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GIÁM SÁT THI CÔNG XÂY DỰNG 2</w:t>
            </w:r>
          </w:p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Ghi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rõ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họ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chức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vụ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)</w:t>
            </w:r>
          </w:p>
        </w:tc>
        <w:tc>
          <w:tcPr>
            <w:tcW w:w="319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5971CB">
              <w:rPr>
                <w:rFonts w:ascii="Times New Roman" w:eastAsia="Times New Roman" w:hAnsi="Times New Roman" w:cs="Times New Roman"/>
                <w:b/>
                <w:bCs/>
                <w:color w:val="2F2F2F"/>
                <w:sz w:val="21"/>
                <w:szCs w:val="21"/>
              </w:rPr>
              <w:t> KĨ THUẬT THI CÔNG TRỰC TIẾP</w:t>
            </w:r>
          </w:p>
          <w:p w:rsidR="00BC64A9" w:rsidRPr="00BC64A9" w:rsidRDefault="00BC64A9" w:rsidP="00BC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</w:pPr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(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Ghi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rõ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họ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tên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chức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vụ</w:t>
            </w:r>
            <w:proofErr w:type="spellEnd"/>
            <w:r w:rsidRPr="00BC64A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</w:rPr>
              <w:t>)</w:t>
            </w:r>
          </w:p>
        </w:tc>
      </w:tr>
    </w:tbl>
    <w:p w:rsidR="00903ED8" w:rsidRPr="005971CB" w:rsidRDefault="005971CB">
      <w:pPr>
        <w:rPr>
          <w:rFonts w:ascii="Times New Roman" w:hAnsi="Times New Roman" w:cs="Times New Roman"/>
        </w:rPr>
      </w:pPr>
    </w:p>
    <w:sectPr w:rsidR="00903ED8" w:rsidRPr="005971CB" w:rsidSect="00BC64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392"/>
    <w:multiLevelType w:val="multilevel"/>
    <w:tmpl w:val="D26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220CF0"/>
    <w:multiLevelType w:val="multilevel"/>
    <w:tmpl w:val="161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9"/>
    <w:rsid w:val="004329CC"/>
    <w:rsid w:val="005971CB"/>
    <w:rsid w:val="00B1011B"/>
    <w:rsid w:val="00B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ED6A"/>
  <w15:chartTrackingRefBased/>
  <w15:docId w15:val="{5D36CB91-40DF-422F-BE42-F9C7CA3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6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6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4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6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4A9"/>
    <w:rPr>
      <w:b/>
      <w:bCs/>
    </w:rPr>
  </w:style>
  <w:style w:type="character" w:styleId="Emphasis">
    <w:name w:val="Emphasis"/>
    <w:basedOn w:val="DefaultParagraphFont"/>
    <w:uiPriority w:val="20"/>
    <w:qFormat/>
    <w:rsid w:val="00BC6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2</cp:revision>
  <dcterms:created xsi:type="dcterms:W3CDTF">2021-05-18T14:58:00Z</dcterms:created>
  <dcterms:modified xsi:type="dcterms:W3CDTF">2021-05-18T15:23:00Z</dcterms:modified>
</cp:coreProperties>
</file>