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67" w:rsidRPr="00174067" w:rsidRDefault="00174067" w:rsidP="00174067">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bookmarkStart w:id="0" w:name="_GoBack"/>
      <w:r w:rsidRPr="00174067">
        <w:rPr>
          <w:rFonts w:ascii="Times New Roman" w:eastAsia="Times New Roman" w:hAnsi="Times New Roman" w:cs="Times New Roman"/>
          <w:b/>
          <w:bCs/>
          <w:color w:val="000000"/>
          <w:sz w:val="27"/>
          <w:szCs w:val="27"/>
        </w:rPr>
        <w:t>CỘNG HÒA XÃ HỘI CHỦ NGHĨA VIỆT NAM</w:t>
      </w:r>
    </w:p>
    <w:p w:rsidR="00174067" w:rsidRPr="00174067" w:rsidRDefault="00174067" w:rsidP="00174067">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t>Độc lập – Tự do – Hạnh phúc</w:t>
      </w:r>
    </w:p>
    <w:p w:rsidR="00174067" w:rsidRPr="00174067" w:rsidRDefault="00174067" w:rsidP="00174067">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t>—————</w:t>
      </w:r>
    </w:p>
    <w:p w:rsidR="00174067" w:rsidRPr="00174067" w:rsidRDefault="00174067" w:rsidP="00174067">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t>[Tên của tổ chức bảo lãnh chính]</w:t>
      </w:r>
    </w:p>
    <w:p w:rsidR="00174067" w:rsidRPr="00174067" w:rsidRDefault="00174067" w:rsidP="00174067">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t>BIÊN BẢN THỎA THUẬN</w:t>
      </w:r>
    </w:p>
    <w:p w:rsidR="00174067" w:rsidRPr="00174067" w:rsidRDefault="00174067" w:rsidP="00174067">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ngày…. tháng… năm….</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Căn cứ Nghị định số 95/2018/NĐ-CP ngày 30/06/2018 của Chính phủ về phát hành, đăng ký, lưu ký, niêm yết và giao dịch công cụ nợ của Chính phủ trên thị trường chứng khoán.</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Căn cứ Thông tư số 111/2018/TT-BTC, ngày 15/11/2018 của Bộ Tài chính hướng dẫn phát hành và thanh toán công cụ nợ của Chính phủ tại thị trường trong nước</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Hôm nay, ngày… tháng… năm…, tại…</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Chúng tôi gồm:</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t>1. Tổ chức bảo lãnh chính</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Tên tổ chức:</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Địa chỉ:</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Tài khoản ngân hàng số:…                                      Tại:…</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Người đại diện hợp pháp: (Họ tên, chức vụ, địa chỉ)</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t>2. Tổ chức bảo lãnh trong tổ hợp bảo lãnh</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Tên tổ chức bảo lãnh 1:</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Địa chỉ:</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lastRenderedPageBreak/>
        <w:t>+ Tài khoản ngân hàng số:…                                      Tại:…</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Người đại diện hợp pháp: (Họ tên, chức vụ, địa chỉ)</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Tên tổ chức bảo lãnh 2:</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Địa chỉ:</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Tài khoản ngân hàng số:…                                      Tại:…</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Người đại diện hợp pháp: (Họ tên, chức vụ, địa chỉ)</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Sau khi thống nhất, các bên cùng nhau ký kết thỏa thuận của tổ hợp bảo lãnh phát hành trái phiếu với các nội dung sau đây:</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t>Điều 1. </w:t>
      </w:r>
      <w:r w:rsidRPr="00174067">
        <w:rPr>
          <w:rFonts w:ascii="Times New Roman" w:eastAsia="Times New Roman" w:hAnsi="Times New Roman" w:cs="Times New Roman"/>
          <w:color w:val="000000"/>
          <w:sz w:val="27"/>
          <w:szCs w:val="27"/>
        </w:rPr>
        <w:t>Chúng tôi đồng ý để [Tên của Tổ chức bảo lãnh chính] phân bổ khối lượng trái phiếu trong tổ hợp bảo lãnh và đại diện đàm phán với Kho bạc Nhà nước về mức lãi suất trái phiếu, khối lượng trái phiếu cam kết mua đối với đợt bảo lãnh phát hành theo thông báo số…….. ngày……..</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t>Điều 2. </w:t>
      </w:r>
      <w:r w:rsidRPr="00174067">
        <w:rPr>
          <w:rFonts w:ascii="Times New Roman" w:eastAsia="Times New Roman" w:hAnsi="Times New Roman" w:cs="Times New Roman"/>
          <w:color w:val="000000"/>
          <w:sz w:val="27"/>
          <w:szCs w:val="27"/>
        </w:rPr>
        <w:t>Chậm nhất 11 giờ 30 phút ngày thanh toán tiền mua trái phiếu theo thông báo của Kho bạc Nhà nước, tổ chức bảo lãnh cam kết sẽ thanh toán toàn bộ số tiền mua trái phiếu của tổ hợp bảo lãnh vào tài khoản chỉ định của Kho bạc Nhà nước (hoặc thanh toán qua tổ chức bảo lãnh chính tùy theo thỏa thuận giữa tổ chức bảo lãnh chính và các tổ chức bảo lãnh, đảm bảo toàn bộ số tiền mua trái phiếu được thanh toán vào tài khoản chỉ định của Kho bạc Nhà nước).</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t>Điều 3. </w:t>
      </w:r>
      <w:r w:rsidRPr="00174067">
        <w:rPr>
          <w:rFonts w:ascii="Times New Roman" w:eastAsia="Times New Roman" w:hAnsi="Times New Roman" w:cs="Times New Roman"/>
          <w:color w:val="000000"/>
          <w:sz w:val="27"/>
          <w:szCs w:val="27"/>
        </w:rPr>
        <w:t>Trường hợp tổ chức bảo lãnh chậm thanh toán tiền mua trái phiếu theo thông báo của tổ chức bảo lãnh chính, tổ chức bảo lãnh chính được quyền yêu cầu tổ chức bảo lãnh nộp tiền lãi chậm thanh toán. Tiền lãi chậm thanh toán được xác định bằng… (do các bên thỏa thuận cụ thể).</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t>Điều 4. </w:t>
      </w:r>
      <w:r w:rsidRPr="00174067">
        <w:rPr>
          <w:rFonts w:ascii="Times New Roman" w:eastAsia="Times New Roman" w:hAnsi="Times New Roman" w:cs="Times New Roman"/>
          <w:color w:val="000000"/>
          <w:sz w:val="27"/>
          <w:szCs w:val="27"/>
        </w:rPr>
        <w:t>Tổ chức bảo lãnh chính có trách nhiệm cung cấp đầy đủ thông tin chi tiết theo yêu cầu của Trung tâm Lưu ký chứng khoán Việt Nam về tổ chức/người đăng ký mua trái phiếu cho Kho bạc Nhà nước vào ngày thanh toán tiền mua trái phiếu.</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t>Điều 5. </w:t>
      </w:r>
      <w:r w:rsidRPr="00174067">
        <w:rPr>
          <w:rFonts w:ascii="Times New Roman" w:eastAsia="Times New Roman" w:hAnsi="Times New Roman" w:cs="Times New Roman"/>
          <w:color w:val="000000"/>
          <w:sz w:val="27"/>
          <w:szCs w:val="27"/>
        </w:rPr>
        <w:t>Các cam kết khác …</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lastRenderedPageBreak/>
        <w:t>Điều 6. </w:t>
      </w:r>
      <w:r w:rsidRPr="00174067">
        <w:rPr>
          <w:rFonts w:ascii="Times New Roman" w:eastAsia="Times New Roman" w:hAnsi="Times New Roman" w:cs="Times New Roman"/>
          <w:color w:val="000000"/>
          <w:sz w:val="27"/>
          <w:szCs w:val="27"/>
        </w:rPr>
        <w:t>Khiếu nại, tranh chấp</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Mọi khiếu nại, tranh chấp, vi phạm hợp đồng của các bên xử lý theo quy định hiện hành.</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t>Điều 7. </w:t>
      </w:r>
      <w:r w:rsidRPr="00174067">
        <w:rPr>
          <w:rFonts w:ascii="Times New Roman" w:eastAsia="Times New Roman" w:hAnsi="Times New Roman" w:cs="Times New Roman"/>
          <w:color w:val="000000"/>
          <w:sz w:val="27"/>
          <w:szCs w:val="27"/>
        </w:rPr>
        <w:t>Hiệu lực thi hành</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Hợp đồng này có hiệu lực thi hành từ ngày…/…/…</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 Hợp đồng này kết thúc khi:</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a) Kho bạc Nhà nước thông báo đợt bảo lãnh phát hành không thành công;</w:t>
      </w:r>
    </w:p>
    <w:p w:rsidR="00174067" w:rsidRPr="00174067" w:rsidRDefault="00174067" w:rsidP="00174067">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b) Tổ chức bảo lãnh chính và các tổ chức bảo lãnh trong tổ hợp đã hoàn thành các nghĩa vụ liên quan, và trái phiếu đã được lưu ký tại Trung tâm Lưu ký chứng khoán Việt Nam vào tài khoản tương ứng của các bên có liên quan.</w:t>
      </w:r>
    </w:p>
    <w:p w:rsidR="00174067" w:rsidRPr="00174067" w:rsidRDefault="00174067" w:rsidP="00174067">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t>TÊN TỔ CHỨC BẢO LÃNH CHÍNH</w:t>
      </w:r>
    </w:p>
    <w:p w:rsidR="00174067" w:rsidRPr="00174067" w:rsidRDefault="00174067" w:rsidP="00174067">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t>Đại diện tổ chức bảo lãnh chính</w:t>
      </w:r>
    </w:p>
    <w:p w:rsidR="00174067" w:rsidRPr="00174067" w:rsidRDefault="00174067" w:rsidP="00174067">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(Ký, đóng dấu và ghi rõ họ tên)</w:t>
      </w:r>
    </w:p>
    <w:p w:rsidR="00174067" w:rsidRPr="00174067" w:rsidRDefault="00174067" w:rsidP="00174067">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t>ĐẠI DIỆN TỔ CHỨC BẢO LÃNH 1</w:t>
      </w:r>
    </w:p>
    <w:p w:rsidR="00174067" w:rsidRPr="00174067" w:rsidRDefault="00174067" w:rsidP="00174067">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(Ký, đóng dấu và ghi rõ họ tên) </w:t>
      </w:r>
    </w:p>
    <w:p w:rsidR="00174067" w:rsidRPr="00174067" w:rsidRDefault="00174067" w:rsidP="00174067">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174067">
        <w:rPr>
          <w:rFonts w:ascii="Times New Roman" w:eastAsia="Times New Roman" w:hAnsi="Times New Roman" w:cs="Times New Roman"/>
          <w:b/>
          <w:bCs/>
          <w:color w:val="000000"/>
          <w:sz w:val="27"/>
          <w:szCs w:val="27"/>
        </w:rPr>
        <w:t>ĐẠI DIỆN TỔ CHỨC BẢO LÃNH 2</w:t>
      </w:r>
    </w:p>
    <w:p w:rsidR="00174067" w:rsidRPr="00174067" w:rsidRDefault="00174067" w:rsidP="00174067">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174067">
        <w:rPr>
          <w:rFonts w:ascii="Times New Roman" w:eastAsia="Times New Roman" w:hAnsi="Times New Roman" w:cs="Times New Roman"/>
          <w:color w:val="000000"/>
          <w:sz w:val="27"/>
          <w:szCs w:val="27"/>
        </w:rPr>
        <w:t>(Ký, đóng dấu và ghi rõ họ tên)</w:t>
      </w:r>
      <w:r w:rsidRPr="00174067">
        <w:rPr>
          <w:rFonts w:ascii="Times New Roman" w:eastAsia="Times New Roman" w:hAnsi="Times New Roman" w:cs="Times New Roman"/>
          <w:b/>
          <w:bCs/>
          <w:color w:val="000000"/>
          <w:sz w:val="27"/>
          <w:szCs w:val="27"/>
        </w:rPr>
        <w:t> </w:t>
      </w:r>
    </w:p>
    <w:bookmarkEnd w:id="0"/>
    <w:p w:rsidR="00C81047" w:rsidRPr="00174067" w:rsidRDefault="00C81047" w:rsidP="00A33C5C">
      <w:pPr>
        <w:rPr>
          <w:rFonts w:ascii="Times New Roman" w:hAnsi="Times New Roman" w:cs="Times New Roman"/>
        </w:rPr>
      </w:pPr>
    </w:p>
    <w:sectPr w:rsidR="00C81047" w:rsidRPr="00174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C1"/>
    <w:rsid w:val="00174067"/>
    <w:rsid w:val="005D66C1"/>
    <w:rsid w:val="008E5C4D"/>
    <w:rsid w:val="00A33C5C"/>
    <w:rsid w:val="00BB60AF"/>
    <w:rsid w:val="00C81047"/>
    <w:rsid w:val="00FC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7D56"/>
  <w15:chartTrackingRefBased/>
  <w15:docId w15:val="{6FB2CE4B-33BB-4E37-99B9-0E3D13DC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5D66C1"/>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FC70D8"/>
    <w:rPr>
      <w:b/>
      <w:bCs/>
    </w:rPr>
  </w:style>
  <w:style w:type="character" w:styleId="Nhnmanh">
    <w:name w:val="Emphasis"/>
    <w:basedOn w:val="Phngmcinhcuaoanvn"/>
    <w:uiPriority w:val="20"/>
    <w:qFormat/>
    <w:rsid w:val="008E5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7598">
      <w:bodyDiv w:val="1"/>
      <w:marLeft w:val="0"/>
      <w:marRight w:val="0"/>
      <w:marTop w:val="0"/>
      <w:marBottom w:val="0"/>
      <w:divBdr>
        <w:top w:val="none" w:sz="0" w:space="0" w:color="auto"/>
        <w:left w:val="none" w:sz="0" w:space="0" w:color="auto"/>
        <w:bottom w:val="none" w:sz="0" w:space="0" w:color="auto"/>
        <w:right w:val="none" w:sz="0" w:space="0" w:color="auto"/>
      </w:divBdr>
    </w:div>
    <w:div w:id="820731026">
      <w:bodyDiv w:val="1"/>
      <w:marLeft w:val="0"/>
      <w:marRight w:val="0"/>
      <w:marTop w:val="0"/>
      <w:marBottom w:val="0"/>
      <w:divBdr>
        <w:top w:val="none" w:sz="0" w:space="0" w:color="auto"/>
        <w:left w:val="none" w:sz="0" w:space="0" w:color="auto"/>
        <w:bottom w:val="none" w:sz="0" w:space="0" w:color="auto"/>
        <w:right w:val="none" w:sz="0" w:space="0" w:color="auto"/>
      </w:divBdr>
    </w:div>
    <w:div w:id="856696092">
      <w:bodyDiv w:val="1"/>
      <w:marLeft w:val="0"/>
      <w:marRight w:val="0"/>
      <w:marTop w:val="0"/>
      <w:marBottom w:val="0"/>
      <w:divBdr>
        <w:top w:val="none" w:sz="0" w:space="0" w:color="auto"/>
        <w:left w:val="none" w:sz="0" w:space="0" w:color="auto"/>
        <w:bottom w:val="none" w:sz="0" w:space="0" w:color="auto"/>
        <w:right w:val="none" w:sz="0" w:space="0" w:color="auto"/>
      </w:divBdr>
    </w:div>
    <w:div w:id="1235313132">
      <w:bodyDiv w:val="1"/>
      <w:marLeft w:val="0"/>
      <w:marRight w:val="0"/>
      <w:marTop w:val="0"/>
      <w:marBottom w:val="0"/>
      <w:divBdr>
        <w:top w:val="none" w:sz="0" w:space="0" w:color="auto"/>
        <w:left w:val="none" w:sz="0" w:space="0" w:color="auto"/>
        <w:bottom w:val="none" w:sz="0" w:space="0" w:color="auto"/>
        <w:right w:val="none" w:sz="0" w:space="0" w:color="auto"/>
      </w:divBdr>
    </w:div>
    <w:div w:id="1667171040">
      <w:bodyDiv w:val="1"/>
      <w:marLeft w:val="0"/>
      <w:marRight w:val="0"/>
      <w:marTop w:val="0"/>
      <w:marBottom w:val="0"/>
      <w:divBdr>
        <w:top w:val="none" w:sz="0" w:space="0" w:color="auto"/>
        <w:left w:val="none" w:sz="0" w:space="0" w:color="auto"/>
        <w:bottom w:val="none" w:sz="0" w:space="0" w:color="auto"/>
        <w:right w:val="none" w:sz="0" w:space="0" w:color="auto"/>
      </w:divBdr>
    </w:div>
    <w:div w:id="16872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HL2020</dc:creator>
  <cp:keywords/>
  <dc:description/>
  <cp:lastModifiedBy>HL2020</cp:lastModifiedBy>
  <cp:revision>6</cp:revision>
  <dcterms:created xsi:type="dcterms:W3CDTF">2021-03-28T17:58:00Z</dcterms:created>
  <dcterms:modified xsi:type="dcterms:W3CDTF">2021-04-29T07:11:00Z</dcterms:modified>
</cp:coreProperties>
</file>