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1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8"/>
        <w:gridCol w:w="6901"/>
      </w:tblGrid>
      <w:tr w:rsidR="00CF5CAB" w:rsidRPr="00E16609" w:rsidTr="00FE2B32">
        <w:trPr>
          <w:trHeight w:val="211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TÊN DOANH NGHIỆP</w:t>
            </w:r>
            <w:r w:rsidRPr="00ED6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--------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  <w:r w:rsidRPr="00ED6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ED6CB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br/>
            </w:r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---------------</w:t>
            </w:r>
          </w:p>
        </w:tc>
      </w:tr>
      <w:tr w:rsidR="00CF5CAB" w:rsidRPr="00E16609" w:rsidTr="00FE2B32">
        <w:trPr>
          <w:trHeight w:val="69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D6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ED6C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</w:rPr>
              <w:t>:       /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............</w:t>
            </w:r>
          </w:p>
        </w:tc>
      </w:tr>
    </w:tbl>
    <w:p w:rsidR="00CF5CAB" w:rsidRDefault="00CF5CAB" w:rsidP="00CF5CAB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CF5CAB" w:rsidRPr="00ED6CB9" w:rsidRDefault="00CF5CAB" w:rsidP="00CF5CAB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166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ĐƠN ĐỀ NGHỊ CẤP GIẤY PHÉP SẢN XUẤT RƯỢU CÔNG NGHIỆP</w:t>
      </w:r>
    </w:p>
    <w:p w:rsidR="00CF5CAB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Kính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gửi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: . </w:t>
      </w:r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 ..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(1)</w:t>
      </w: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Tên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nghiệp</w:t>
      </w:r>
      <w:proofErr w:type="spellEnd"/>
      <w:proofErr w:type="gram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:........</w:t>
      </w:r>
      <w:proofErr w:type="gramEnd"/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Trụ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sở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giao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dịch</w:t>
      </w:r>
      <w:proofErr w:type="spellEnd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:.........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Điện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thoại</w:t>
      </w:r>
      <w:proofErr w:type="spellEnd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:.........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Fax</w:t>
      </w:r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:........</w:t>
      </w:r>
      <w:proofErr w:type="gramEnd"/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Địa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điểm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xuất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........</w:t>
      </w: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đầu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tư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hoặc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đăng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ký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nghiệp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hoặc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chứng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nhận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đăng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ký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kinh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....... do........ </w:t>
      </w:r>
      <w:proofErr w:type="spellStart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........ </w:t>
      </w:r>
      <w:proofErr w:type="spellStart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.........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.......</w:t>
      </w: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Đề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nghị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.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…(1)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xem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xét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cấp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Giấy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phép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xuất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loại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rượu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 (2)</w:t>
      </w: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mô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xuất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phẩm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rượu</w:t>
      </w:r>
      <w:proofErr w:type="spellEnd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:........................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(3)</w:t>
      </w:r>
    </w:p>
    <w:p w:rsidR="00CF5CAB" w:rsidRPr="00ED6CB9" w:rsidRDefault="00CF5CAB" w:rsidP="00CF5CA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nghiệp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xin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cam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đoan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thực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hiện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đúng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tại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>
        <w:fldChar w:fldCharType="begin"/>
      </w:r>
      <w:r>
        <w:instrText xml:space="preserve"> HYPERLINK "https://luatminhkhue.vn/nghi-dinh-94-2012-nd-cp-cua-chinh-phu-ve-san-xuat--kinh-doanh-ruou.aspx" \t "_blank" </w:instrText>
      </w:r>
      <w:r>
        <w:fldChar w:fldCharType="separate"/>
      </w:r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Nghị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105/2017 /NĐ-CP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có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hiệu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lực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11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2017</w:t>
      </w:r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Chính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phủ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sản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xuất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kinh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doanh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rượu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 </w:t>
      </w:r>
      <w:proofErr w:type="spellStart"/>
      <w:r>
        <w:fldChar w:fldCharType="begin"/>
      </w:r>
      <w:r>
        <w:instrText xml:space="preserve"> HYPERLINK "https://luatminhkhue.vn/thong-tu-60-2014-tt-bct-huong-dan-94-2012-nd-cp-san-xuat-kinh-doanh-ruou.aspx" \t "_blank" </w:instrText>
      </w:r>
      <w:r>
        <w:fldChar w:fldCharType="separate"/>
      </w:r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Thông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tư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E1660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60/2014/TT-BCT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fldChar w:fldCharType="end"/>
      </w:r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27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12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2014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Bộ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Công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Thương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chi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tiết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một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điều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của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Nghị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94/2012/NĐ-CP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ngày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12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tháng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11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năm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2012,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về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sở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hữu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trí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tuệ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và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quy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định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khác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liên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quan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Nếu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sai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xin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hoàn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toàn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chịu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trách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nhiệm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trước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pháp</w:t>
      </w:r>
      <w:proofErr w:type="spell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luật</w:t>
      </w:r>
      <w:proofErr w:type="spellEnd"/>
      <w:proofErr w:type="gramStart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./</w:t>
      </w:r>
      <w:proofErr w:type="gramEnd"/>
      <w:r w:rsidRPr="00ED6C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tbl>
      <w:tblPr>
        <w:tblW w:w="10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CF5CAB" w:rsidRPr="00E16609" w:rsidTr="00FE2B32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đại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diện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theo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pháp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luật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của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doanh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nghiệp</w:t>
            </w:r>
            <w:proofErr w:type="spellEnd"/>
          </w:p>
          <w:p w:rsidR="00CF5CAB" w:rsidRPr="00ED6CB9" w:rsidRDefault="00CF5CAB" w:rsidP="00FE2B32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166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377FB5" w:rsidRDefault="00377FB5"/>
    <w:sectPr w:rsidR="0037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AB"/>
    <w:rsid w:val="00377FB5"/>
    <w:rsid w:val="00C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23807-D0DF-4AD1-9EDD-FBFFA0CA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2021-04-27T16:38:00Z</dcterms:created>
  <dcterms:modified xsi:type="dcterms:W3CDTF">2021-04-27T16:38:00Z</dcterms:modified>
</cp:coreProperties>
</file>