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202" w:rsidRPr="00D27202" w:rsidRDefault="00D27202" w:rsidP="00D27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>CỘNG HOÀ XÃ HỘI CHỦ NGHĨA VIỆT NAM</w:t>
      </w:r>
      <w:r w:rsidRPr="00D27202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br/>
        <w:t>----------------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>HỢP ĐỒNG HOÁN ĐỔI CÔNG CỤ NỢ CỦA CHÍNH PHỦ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 ... /HĐ</w:t>
      </w:r>
      <w:bookmarkStart w:id="0" w:name="_GoBack"/>
      <w:bookmarkEnd w:id="0"/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95/2018/NĐ-CP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30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110/2018/TT-BTC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11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mua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của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..., </w:t>
      </w:r>
      <w:proofErr w:type="spellStart"/>
      <w:proofErr w:type="gramStart"/>
      <w:r w:rsidRPr="00D272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gramEnd"/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A)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: Kho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B)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 (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92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599"/>
        <w:gridCol w:w="599"/>
        <w:gridCol w:w="611"/>
        <w:gridCol w:w="811"/>
        <w:gridCol w:w="550"/>
        <w:gridCol w:w="639"/>
        <w:gridCol w:w="550"/>
        <w:gridCol w:w="599"/>
        <w:gridCol w:w="599"/>
        <w:gridCol w:w="611"/>
        <w:gridCol w:w="811"/>
        <w:gridCol w:w="550"/>
        <w:gridCol w:w="639"/>
        <w:gridCol w:w="29"/>
        <w:gridCol w:w="588"/>
        <w:gridCol w:w="10"/>
      </w:tblGrid>
      <w:tr w:rsidR="00D27202" w:rsidRPr="00D27202" w:rsidTr="00D27202">
        <w:trPr>
          <w:trHeight w:val="719"/>
        </w:trPr>
        <w:tc>
          <w:tcPr>
            <w:tcW w:w="433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Điều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hoán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</w:p>
        </w:tc>
        <w:tc>
          <w:tcPr>
            <w:tcW w:w="43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điệu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kiện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phủ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thống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hoán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</w:p>
        </w:tc>
        <w:tc>
          <w:tcPr>
            <w:tcW w:w="59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hoán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</w:p>
        </w:tc>
      </w:tr>
      <w:tr w:rsidR="00D27202" w:rsidRPr="00D27202" w:rsidTr="00D27202">
        <w:trPr>
          <w:gridAfter w:val="1"/>
          <w:wAfter w:w="6" w:type="dxa"/>
          <w:trHeight w:val="1799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đáo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Lãi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gốc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lãi</w:t>
            </w:r>
            <w:proofErr w:type="spellEnd"/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Lãi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chiết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khấu</w:t>
            </w:r>
            <w:proofErr w:type="spellEnd"/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Mã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nợ</w:t>
            </w:r>
            <w:proofErr w:type="spellEnd"/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đáo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Lãi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danh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gốc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lãi</w:t>
            </w:r>
            <w:proofErr w:type="spellEnd"/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Lãi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suất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chiết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khấu</w:t>
            </w:r>
            <w:proofErr w:type="spellEnd"/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Khối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202" w:rsidRPr="00D27202" w:rsidTr="00D27202">
        <w:trPr>
          <w:gridAfter w:val="1"/>
          <w:wAfter w:w="6" w:type="dxa"/>
          <w:trHeight w:val="341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202" w:rsidRPr="00D27202" w:rsidTr="00D27202">
        <w:trPr>
          <w:gridAfter w:val="1"/>
          <w:wAfter w:w="6" w:type="dxa"/>
          <w:trHeight w:val="287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27202" w:rsidRPr="00D27202" w:rsidTr="00D27202">
        <w:trPr>
          <w:gridAfter w:val="1"/>
          <w:wAfter w:w="6" w:type="dxa"/>
          <w:trHeight w:val="287"/>
        </w:trPr>
        <w:tc>
          <w:tcPr>
            <w:tcW w:w="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Kho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bạc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720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110/2018/TT-BTC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15/11/2018.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hữu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lastRenderedPageBreak/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yết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rút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720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110/2018/TT-BTC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15/11/2018.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hoán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niêm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yết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27202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110/2018/TT-BTC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15/11/2018.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4.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7202" w:rsidRPr="00D27202" w:rsidRDefault="00D27202" w:rsidP="00D272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D27202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27202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4868"/>
      </w:tblGrid>
      <w:tr w:rsidR="00D27202" w:rsidRPr="00D27202" w:rsidTr="00D27202">
        <w:tc>
          <w:tcPr>
            <w:tcW w:w="451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CHỦ SỞ HỮU TRÁI PHIẾU/TỔ CHỨC ĐƯỢC CHỦ SỞ HỮU TRÁI PHIẾU ỦY QUYỀN</w:t>
            </w:r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3945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7202" w:rsidRPr="00D27202" w:rsidRDefault="00D27202" w:rsidP="00D272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t>KHO BẠC NHÀ NƯỚC</w:t>
            </w:r>
            <w:r w:rsidRPr="00D2720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2720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D27202" w:rsidRDefault="00AD7AF1" w:rsidP="00D27202">
      <w:pPr>
        <w:shd w:val="clear" w:color="auto" w:fill="FFFFFF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AD7AF1" w:rsidRPr="00D2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A6B34"/>
    <w:multiLevelType w:val="multilevel"/>
    <w:tmpl w:val="04A0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E59D7"/>
    <w:multiLevelType w:val="multilevel"/>
    <w:tmpl w:val="B45E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02"/>
    <w:rsid w:val="00AD7AF1"/>
    <w:rsid w:val="00D2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B02E1-F759-4BD5-BE1F-15D672F8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72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72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720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27202"/>
    <w:rPr>
      <w:color w:val="0000FF"/>
      <w:u w:val="single"/>
    </w:rPr>
  </w:style>
  <w:style w:type="character" w:customStyle="1" w:styleId="name">
    <w:name w:val="name"/>
    <w:basedOn w:val="DefaultParagraphFont"/>
    <w:rsid w:val="00D27202"/>
  </w:style>
  <w:style w:type="character" w:customStyle="1" w:styleId="votes">
    <w:name w:val="votes"/>
    <w:basedOn w:val="DefaultParagraphFont"/>
    <w:rsid w:val="00D27202"/>
  </w:style>
  <w:style w:type="character" w:customStyle="1" w:styleId="views">
    <w:name w:val="views"/>
    <w:basedOn w:val="DefaultParagraphFont"/>
    <w:rsid w:val="00D27202"/>
  </w:style>
  <w:style w:type="character" w:customStyle="1" w:styleId="item-label">
    <w:name w:val="item-label"/>
    <w:basedOn w:val="DefaultParagraphFont"/>
    <w:rsid w:val="00D27202"/>
  </w:style>
  <w:style w:type="character" w:customStyle="1" w:styleId="user-name">
    <w:name w:val="user-name"/>
    <w:basedOn w:val="DefaultParagraphFont"/>
    <w:rsid w:val="00D27202"/>
  </w:style>
  <w:style w:type="character" w:customStyle="1" w:styleId="item-info">
    <w:name w:val="item-info"/>
    <w:basedOn w:val="DefaultParagraphFont"/>
    <w:rsid w:val="00D2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1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6590237">
                  <w:marLeft w:val="0"/>
                  <w:marRight w:val="0"/>
                  <w:marTop w:val="12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53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5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77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5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4329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2021-03-23T09:28:00Z</dcterms:created>
  <dcterms:modified xsi:type="dcterms:W3CDTF">2021-03-23T09:30:00Z</dcterms:modified>
</cp:coreProperties>
</file>