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C75B54" w:rsidTr="00FC163B">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C75B54" w:rsidRDefault="00C75B54" w:rsidP="00FC163B">
            <w:pPr>
              <w:spacing w:before="120"/>
              <w:jc w:val="center"/>
            </w:pPr>
            <w:r>
              <w:rPr>
                <w:b/>
                <w:bCs/>
                <w:lang w:val="vi-VN"/>
              </w:rPr>
              <w:t>TÒA ÁN NHÂN DÂN TỐI CAO</w:t>
            </w:r>
            <w:r>
              <w:rPr>
                <w:b/>
                <w:bCs/>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C75B54" w:rsidRDefault="00C75B54" w:rsidP="00FC163B">
            <w:pPr>
              <w:spacing w:before="120"/>
              <w:jc w:val="center"/>
            </w:pPr>
            <w:r>
              <w:rPr>
                <w:b/>
                <w:bCs/>
                <w:lang w:val="vi-VN"/>
              </w:rPr>
              <w:t>CỘNG HÒA XÃ HỘI CHỦ NGHĨA VIỆT NAM</w:t>
            </w:r>
            <w:r>
              <w:rPr>
                <w:b/>
                <w:bCs/>
                <w:lang w:val="vi-VN"/>
              </w:rPr>
              <w:br/>
              <w:t xml:space="preserve">Độc lập - Tự do - Hạnh phúc </w:t>
            </w:r>
            <w:r>
              <w:rPr>
                <w:b/>
                <w:bCs/>
                <w:lang w:val="vi-VN"/>
              </w:rPr>
              <w:br/>
              <w:t>---------------</w:t>
            </w:r>
          </w:p>
        </w:tc>
      </w:tr>
      <w:tr w:rsidR="00C75B54" w:rsidTr="00FC163B">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C75B54" w:rsidRDefault="00C75B54" w:rsidP="00FC163B">
            <w:pPr>
              <w:spacing w:before="120"/>
            </w:pPr>
            <w:r>
              <w:rPr>
                <w:lang w:val="vi-VN"/>
              </w:rPr>
              <w:t xml:space="preserve">Số: </w:t>
            </w:r>
            <w:r>
              <w:t>196</w:t>
            </w:r>
            <w:r>
              <w:rPr>
                <w:lang w:val="vi-VN"/>
              </w:rPr>
              <w:t>/TANDTC-PC</w:t>
            </w:r>
            <w:r>
              <w:br/>
            </w:r>
            <w:r>
              <w:rPr>
                <w:i/>
                <w:iCs/>
                <w:sz w:val="16"/>
                <w:lang w:val="vi-VN"/>
              </w:rPr>
              <w:t>V/v áp dụng điểm c khoản 2 Điều 321 và điểm c khoản 2 Điều 322 của BLHS.</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C75B54" w:rsidRDefault="00C75B54" w:rsidP="00FC163B">
            <w:pPr>
              <w:spacing w:before="120"/>
              <w:jc w:val="right"/>
            </w:pPr>
            <w:r>
              <w:rPr>
                <w:i/>
                <w:iCs/>
              </w:rPr>
              <w:t>Hà Nội</w:t>
            </w:r>
            <w:r>
              <w:rPr>
                <w:i/>
                <w:iCs/>
                <w:lang w:val="vi-VN"/>
              </w:rPr>
              <w:t xml:space="preserve">, ngày </w:t>
            </w:r>
            <w:r>
              <w:rPr>
                <w:i/>
                <w:iCs/>
              </w:rPr>
              <w:t>04</w:t>
            </w:r>
            <w:r>
              <w:rPr>
                <w:i/>
                <w:iCs/>
                <w:lang w:val="vi-VN"/>
              </w:rPr>
              <w:t xml:space="preserve"> tháng </w:t>
            </w:r>
            <w:r>
              <w:rPr>
                <w:i/>
                <w:iCs/>
              </w:rPr>
              <w:t>9</w:t>
            </w:r>
            <w:r>
              <w:rPr>
                <w:i/>
                <w:iCs/>
                <w:lang w:val="vi-VN"/>
              </w:rPr>
              <w:t xml:space="preserve"> năm </w:t>
            </w:r>
            <w:r>
              <w:rPr>
                <w:i/>
                <w:iCs/>
              </w:rPr>
              <w:t>2018</w:t>
            </w:r>
          </w:p>
        </w:tc>
      </w:tr>
    </w:tbl>
    <w:p w:rsidR="00C75B54" w:rsidRDefault="00C75B54" w:rsidP="00C75B54">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988"/>
        <w:gridCol w:w="5868"/>
      </w:tblGrid>
      <w:tr w:rsidR="00C75B54" w:rsidTr="00FC163B">
        <w:tc>
          <w:tcPr>
            <w:tcW w:w="2988" w:type="dxa"/>
            <w:tcBorders>
              <w:top w:val="nil"/>
              <w:left w:val="nil"/>
              <w:bottom w:val="nil"/>
              <w:right w:val="nil"/>
              <w:tl2br w:val="nil"/>
              <w:tr2bl w:val="nil"/>
            </w:tcBorders>
            <w:shd w:val="clear" w:color="auto" w:fill="auto"/>
            <w:tcMar>
              <w:top w:w="0" w:type="dxa"/>
              <w:left w:w="108" w:type="dxa"/>
              <w:bottom w:w="0" w:type="dxa"/>
              <w:right w:w="108" w:type="dxa"/>
            </w:tcMar>
          </w:tcPr>
          <w:p w:rsidR="00C75B54" w:rsidRDefault="00C75B54" w:rsidP="00FC163B">
            <w:pPr>
              <w:spacing w:before="120"/>
              <w:jc w:val="right"/>
            </w:pPr>
            <w:r>
              <w:rPr>
                <w:b/>
                <w:bCs/>
                <w:lang w:val="vi-VN"/>
              </w:rPr>
              <w:t>Kính gửi:</w:t>
            </w:r>
          </w:p>
        </w:tc>
        <w:tc>
          <w:tcPr>
            <w:tcW w:w="5868" w:type="dxa"/>
            <w:tcBorders>
              <w:top w:val="nil"/>
              <w:left w:val="nil"/>
              <w:bottom w:val="nil"/>
              <w:right w:val="nil"/>
              <w:tl2br w:val="nil"/>
              <w:tr2bl w:val="nil"/>
            </w:tcBorders>
            <w:shd w:val="clear" w:color="auto" w:fill="auto"/>
            <w:tcMar>
              <w:top w:w="0" w:type="dxa"/>
              <w:left w:w="108" w:type="dxa"/>
              <w:bottom w:w="0" w:type="dxa"/>
              <w:right w:w="108" w:type="dxa"/>
            </w:tcMar>
          </w:tcPr>
          <w:p w:rsidR="00C75B54" w:rsidRDefault="00C75B54" w:rsidP="00FC163B">
            <w:pPr>
              <w:spacing w:before="120"/>
            </w:pPr>
            <w:r>
              <w:rPr>
                <w:lang w:val="vi-VN"/>
              </w:rPr>
              <w:t>- Các Tòa án nhân dân và Tòa án quân sự các cấp;</w:t>
            </w:r>
            <w:r>
              <w:rPr>
                <w:lang w:val="vi-VN"/>
              </w:rPr>
              <w:br/>
              <w:t>- Các đơn vị thuộc Tòa án nhân dân tối cao.</w:t>
            </w:r>
          </w:p>
        </w:tc>
      </w:tr>
    </w:tbl>
    <w:p w:rsidR="00C75B54" w:rsidRDefault="00C75B54" w:rsidP="00C75B54">
      <w:pPr>
        <w:spacing w:before="120" w:after="280" w:afterAutospacing="1"/>
        <w:jc w:val="both"/>
      </w:pPr>
      <w:r>
        <w:rPr>
          <w:lang w:val="vi-VN"/>
        </w:rPr>
        <w:t>Trong thời gian qua, Tòa án nhân dân tối cao nhận được ý kiến phản ánh của một số Tòa án về vướng mắc trong việc áp dụng tình tiết định khung tăng nặng “</w:t>
      </w:r>
      <w:r>
        <w:rPr>
          <w:i/>
          <w:iCs/>
          <w:lang w:val="vi-VN"/>
        </w:rPr>
        <w:t>Sử dụng mạng internet, mạng máy tính, mạng vi</w:t>
      </w:r>
      <w:r>
        <w:rPr>
          <w:i/>
          <w:iCs/>
        </w:rPr>
        <w:t>ễ</w:t>
      </w:r>
      <w:r>
        <w:rPr>
          <w:i/>
          <w:iCs/>
          <w:lang w:val="vi-VN"/>
        </w:rPr>
        <w:t>n thông, phương tiện điện tử để phạm tội</w:t>
      </w:r>
      <w:r>
        <w:rPr>
          <w:lang w:val="vi-VN"/>
        </w:rPr>
        <w:t xml:space="preserve">” quy định tại </w:t>
      </w:r>
      <w:bookmarkStart w:id="0" w:name="dc_1"/>
      <w:r>
        <w:rPr>
          <w:lang w:val="vi-VN"/>
        </w:rPr>
        <w:t>điểm c khoản 2 Điều 321 và điểm c khoản 2 Điều 322 của Bộ luật Hình sự</w:t>
      </w:r>
      <w:bookmarkEnd w:id="0"/>
      <w:r>
        <w:rPr>
          <w:lang w:val="vi-VN"/>
        </w:rPr>
        <w:t>. Đ</w:t>
      </w:r>
      <w:r>
        <w:t>ể</w:t>
      </w:r>
      <w:r>
        <w:rPr>
          <w:lang w:val="vi-VN"/>
        </w:rPr>
        <w:t xml:space="preserve"> bảo đảm áp dụng thống nhất pháp luật việc áp dụng tình tiết nêu trên, Tòa án nhân dân tối cao có ý kiến như sau:</w:t>
      </w:r>
    </w:p>
    <w:p w:rsidR="00C75B54" w:rsidRDefault="00C75B54" w:rsidP="00C75B54">
      <w:pPr>
        <w:spacing w:before="120" w:after="280" w:afterAutospacing="1"/>
        <w:jc w:val="both"/>
      </w:pPr>
      <w:r>
        <w:rPr>
          <w:i/>
          <w:iCs/>
          <w:lang w:val="vi-VN"/>
        </w:rPr>
        <w:t>“Sử dụng mạng internet, mạng máy tính, mạng vi</w:t>
      </w:r>
      <w:r>
        <w:rPr>
          <w:i/>
          <w:iCs/>
        </w:rPr>
        <w:t>ễ</w:t>
      </w:r>
      <w:r>
        <w:rPr>
          <w:i/>
          <w:iCs/>
          <w:lang w:val="vi-VN"/>
        </w:rPr>
        <w:t>n thông, phương tiện điện tử để phạm tội</w:t>
      </w:r>
      <w:r>
        <w:rPr>
          <w:lang w:val="vi-VN"/>
        </w:rPr>
        <w:t xml:space="preserve">” quy định tại </w:t>
      </w:r>
      <w:bookmarkStart w:id="1" w:name="dc_2"/>
      <w:r>
        <w:rPr>
          <w:lang w:val="vi-VN"/>
        </w:rPr>
        <w:t>điểm c khoản 2 Điều 321 và điểm c khoản 2 Điều 322 của Bộ luật Hình sự</w:t>
      </w:r>
      <w:bookmarkEnd w:id="1"/>
      <w:r>
        <w:rPr>
          <w:lang w:val="vi-VN"/>
        </w:rPr>
        <w:t xml:space="preserve"> được hiểu là việc sử dụng mạng internet, mạng máy tính, mạng viễn thông và các phương tiện điện tử để đánh bạc trực tuyến (như hình thành nên các chiếu bạc online hoặc sử dụng mạng internet, mạng máy tính, mạng viễn thông, phương tiện điện tử đ</w:t>
      </w:r>
      <w:r>
        <w:t xml:space="preserve">ể </w:t>
      </w:r>
      <w:r>
        <w:rPr>
          <w:lang w:val="vi-VN"/>
        </w:rPr>
        <w:t>tổ chức đánh bạc, gá bạc).</w:t>
      </w:r>
    </w:p>
    <w:p w:rsidR="00C75B54" w:rsidRDefault="00C75B54" w:rsidP="00C75B54">
      <w:pPr>
        <w:spacing w:before="120" w:after="280" w:afterAutospacing="1"/>
        <w:jc w:val="both"/>
      </w:pPr>
      <w:r>
        <w:rPr>
          <w:lang w:val="vi-VN"/>
        </w:rPr>
        <w:t xml:space="preserve">Việc người phạm tội sử dụng mạng internet, mạng máy tính, mạng viễn thông và các phương tiện điện tử khác như là phương tiện để liên lạc với nhau (ví dụ: nhắn tin qua điện thoại, qua email, zalo, viber.... để ghi số đề, lô tô, cá độ đua ngựa...) mà không hình thành nên các trò chơi được thua bằng tiền hoặc hiện vật trực tuyến thì không thuộc trường hợp </w:t>
      </w:r>
      <w:r>
        <w:rPr>
          <w:i/>
          <w:iCs/>
          <w:lang w:val="vi-VN"/>
        </w:rPr>
        <w:t>“Sử dụng mạng internet, mạng máy tính, mạng vi</w:t>
      </w:r>
      <w:r>
        <w:rPr>
          <w:i/>
          <w:iCs/>
        </w:rPr>
        <w:t>ễ</w:t>
      </w:r>
      <w:r>
        <w:rPr>
          <w:i/>
          <w:iCs/>
          <w:lang w:val="vi-VN"/>
        </w:rPr>
        <w:t>n thông và các phương tiện điện tử đ</w:t>
      </w:r>
      <w:r>
        <w:rPr>
          <w:i/>
          <w:iCs/>
        </w:rPr>
        <w:t>ể</w:t>
      </w:r>
      <w:r>
        <w:rPr>
          <w:i/>
          <w:iCs/>
          <w:lang w:val="vi-VN"/>
        </w:rPr>
        <w:t xml:space="preserve"> phạm tội</w:t>
      </w:r>
      <w:r>
        <w:rPr>
          <w:lang w:val="vi-VN"/>
        </w:rPr>
        <w:t xml:space="preserve">” quy định tại </w:t>
      </w:r>
      <w:bookmarkStart w:id="2" w:name="dc_3"/>
      <w:r>
        <w:rPr>
          <w:lang w:val="vi-VN"/>
        </w:rPr>
        <w:t>điểm c khoản 2 Điều 321 và điểm c khoản 2 Điều 322 của Bộ luật Hình sự</w:t>
      </w:r>
      <w:bookmarkEnd w:id="2"/>
      <w:r>
        <w:rPr>
          <w:lang w:val="vi-VN"/>
        </w:rPr>
        <w:t>.</w:t>
      </w:r>
    </w:p>
    <w:p w:rsidR="00C75B54" w:rsidRDefault="00C75B54" w:rsidP="00C75B54">
      <w:pPr>
        <w:spacing w:before="120" w:after="280" w:afterAutospacing="1"/>
        <w:jc w:val="both"/>
      </w:pPr>
      <w:r>
        <w:rPr>
          <w:lang w:val="vi-VN"/>
        </w:rPr>
        <w:t>Trên đây là ý kiến của Tòa án nhân dân tối cao để các tòa án nghiên cứu, bảo đảm áp dụng pháp luật thống nhất trong xét xử./.</w:t>
      </w:r>
    </w:p>
    <w:p w:rsidR="00C75B54" w:rsidRDefault="00C75B54" w:rsidP="00C75B54">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C75B54" w:rsidTr="00FC163B">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C75B54" w:rsidRDefault="00C75B54" w:rsidP="00FC163B">
            <w:pPr>
              <w:spacing w:before="120"/>
            </w:pPr>
            <w:r>
              <w:rPr>
                <w:b/>
                <w:bCs/>
                <w:i/>
                <w:iCs/>
                <w:lang w:val="vi-VN"/>
              </w:rPr>
              <w:br/>
              <w:t>Nơi nhận:</w:t>
            </w:r>
            <w:r>
              <w:rPr>
                <w:b/>
                <w:bCs/>
                <w:i/>
                <w:iCs/>
                <w:lang w:val="vi-VN"/>
              </w:rPr>
              <w:br/>
            </w:r>
            <w:r>
              <w:rPr>
                <w:sz w:val="16"/>
                <w:lang w:val="vi-VN"/>
              </w:rPr>
              <w:t>- Như trên;</w:t>
            </w:r>
            <w:r>
              <w:rPr>
                <w:sz w:val="16"/>
                <w:lang w:val="vi-VN"/>
              </w:rPr>
              <w:br/>
              <w:t>- Chánh án TANDTC (để báo cáo);</w:t>
            </w:r>
            <w:r>
              <w:rPr>
                <w:sz w:val="16"/>
                <w:lang w:val="vi-VN"/>
              </w:rPr>
              <w:br/>
              <w:t>- Các Phó Chánh án TANDTC;</w:t>
            </w:r>
            <w:r>
              <w:rPr>
                <w:sz w:val="16"/>
                <w:lang w:val="vi-VN"/>
              </w:rPr>
              <w:br/>
              <w:t>- Các Thẩm phán TANDTC;</w:t>
            </w:r>
            <w:r>
              <w:rPr>
                <w:sz w:val="16"/>
                <w:lang w:val="vi-VN"/>
              </w:rPr>
              <w:br/>
              <w:t>- Cổng TTĐT TANDTC (để đăng tải);</w:t>
            </w:r>
            <w:r>
              <w:rPr>
                <w:sz w:val="16"/>
                <w:lang w:val="vi-VN"/>
              </w:rPr>
              <w:br/>
              <w:t>- Lưu: VT, PC&amp;QLKH.</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C75B54" w:rsidRDefault="00C75B54" w:rsidP="00C75B54">
            <w:pPr>
              <w:spacing w:before="120"/>
              <w:jc w:val="center"/>
            </w:pPr>
            <w:r>
              <w:rPr>
                <w:b/>
                <w:bCs/>
              </w:rPr>
              <w:t>KT. CHÁNH ÁN</w:t>
            </w:r>
            <w:r>
              <w:rPr>
                <w:b/>
                <w:bCs/>
              </w:rPr>
              <w:br/>
              <w:t>PHÓ CHÁNH ÁN</w:t>
            </w:r>
            <w:r>
              <w:rPr>
                <w:b/>
                <w:bCs/>
              </w:rPr>
              <w:br/>
            </w:r>
            <w:r>
              <w:rPr>
                <w:b/>
                <w:bCs/>
              </w:rPr>
              <w:br/>
            </w:r>
            <w:r>
              <w:rPr>
                <w:b/>
                <w:bCs/>
              </w:rPr>
              <w:br/>
            </w:r>
            <w:r>
              <w:rPr>
                <w:b/>
                <w:bCs/>
              </w:rPr>
              <w:br/>
              <w:t>Nguyễn Trí Tuệ</w:t>
            </w:r>
          </w:p>
        </w:tc>
      </w:tr>
    </w:tbl>
    <w:p w:rsidR="00E81DC2" w:rsidRDefault="00E81DC2"/>
    <w:sectPr w:rsidR="00E81DC2" w:rsidSect="00C75B54">
      <w:headerReference w:type="even" r:id="rId6"/>
      <w:headerReference w:type="default" r:id="rId7"/>
      <w:footerReference w:type="even" r:id="rId8"/>
      <w:footerReference w:type="default" r:id="rId9"/>
      <w:headerReference w:type="first" r:id="rId10"/>
      <w:footerReference w:type="first" r:id="rId11"/>
      <w:pgSz w:w="12240" w:h="15840"/>
      <w:pgMar w:top="1440" w:right="1440" w:bottom="993" w:left="1440"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047" w:rsidRDefault="00651047" w:rsidP="00C75B54">
      <w:r>
        <w:separator/>
      </w:r>
    </w:p>
  </w:endnote>
  <w:endnote w:type="continuationSeparator" w:id="0">
    <w:p w:rsidR="00651047" w:rsidRDefault="00651047" w:rsidP="00C75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3BC" w:rsidRDefault="001123B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3BC" w:rsidRDefault="001123B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3BC" w:rsidRDefault="001123B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047" w:rsidRDefault="00651047" w:rsidP="00C75B54">
      <w:r>
        <w:separator/>
      </w:r>
    </w:p>
  </w:footnote>
  <w:footnote w:type="continuationSeparator" w:id="0">
    <w:p w:rsidR="00651047" w:rsidRDefault="00651047" w:rsidP="00C75B5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3BC" w:rsidRDefault="001123B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64" w:type="dxa"/>
      <w:tblInd w:w="-606" w:type="dxa"/>
      <w:tblBorders>
        <w:bottom w:val="single" w:sz="4" w:space="0" w:color="auto"/>
      </w:tblBorders>
      <w:tblLayout w:type="fixed"/>
      <w:tblLook w:val="0000" w:firstRow="0" w:lastRow="0" w:firstColumn="0" w:lastColumn="0" w:noHBand="0" w:noVBand="0"/>
    </w:tblPr>
    <w:tblGrid>
      <w:gridCol w:w="2406"/>
      <w:gridCol w:w="8358"/>
    </w:tblGrid>
    <w:tr w:rsidR="00C75B54" w:rsidRPr="004605B1" w:rsidTr="00FC163B">
      <w:trPr>
        <w:trHeight w:val="1800"/>
      </w:trPr>
      <w:tc>
        <w:tcPr>
          <w:tcW w:w="2406" w:type="dxa"/>
          <w:tcBorders>
            <w:top w:val="nil"/>
            <w:left w:val="nil"/>
            <w:bottom w:val="single" w:sz="4" w:space="0" w:color="auto"/>
            <w:right w:val="nil"/>
          </w:tcBorders>
          <w:vAlign w:val="center"/>
        </w:tcPr>
        <w:p w:rsidR="00C75B54" w:rsidRPr="004605B1" w:rsidRDefault="00C75B54" w:rsidP="00FC163B">
          <w:pPr>
            <w:spacing w:line="360" w:lineRule="auto"/>
            <w:jc w:val="both"/>
            <w:rPr>
              <w:b/>
              <w:color w:val="000000"/>
              <w:sz w:val="18"/>
              <w:szCs w:val="18"/>
            </w:rPr>
          </w:pPr>
          <w:r w:rsidRPr="004605B1">
            <w:rPr>
              <w:b/>
              <w:color w:val="000000"/>
              <w:sz w:val="18"/>
              <w:szCs w:val="18"/>
            </w:rPr>
            <w:t xml:space="preserve">       </w:t>
          </w:r>
          <w:r>
            <w:rPr>
              <w:b/>
              <w:noProof/>
              <w:color w:val="000000"/>
              <w:sz w:val="18"/>
              <w:szCs w:val="18"/>
            </w:rPr>
            <w:drawing>
              <wp:inline distT="0" distB="0" distL="0" distR="0" wp14:anchorId="25E28114" wp14:editId="7D7EA385">
                <wp:extent cx="1428750" cy="866775"/>
                <wp:effectExtent l="0" t="0" r="0" b="9525"/>
                <wp:docPr id="1" name="Picture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866775"/>
                        </a:xfrm>
                        <a:prstGeom prst="rect">
                          <a:avLst/>
                        </a:prstGeom>
                        <a:noFill/>
                        <a:ln>
                          <a:noFill/>
                        </a:ln>
                      </pic:spPr>
                    </pic:pic>
                  </a:graphicData>
                </a:graphic>
              </wp:inline>
            </w:drawing>
          </w:r>
          <w:r w:rsidRPr="004605B1">
            <w:rPr>
              <w:b/>
              <w:color w:val="000000"/>
              <w:sz w:val="18"/>
              <w:szCs w:val="18"/>
            </w:rPr>
            <w:t xml:space="preserve">                                                                                                                                                                                                                                                                                                                                                                                                                                                                                              </w:t>
          </w:r>
        </w:p>
      </w:tc>
      <w:tc>
        <w:tcPr>
          <w:tcW w:w="8358" w:type="dxa"/>
          <w:tcBorders>
            <w:top w:val="nil"/>
            <w:left w:val="nil"/>
            <w:bottom w:val="single" w:sz="4" w:space="0" w:color="auto"/>
            <w:right w:val="nil"/>
          </w:tcBorders>
          <w:vAlign w:val="center"/>
        </w:tcPr>
        <w:p w:rsidR="001123BC" w:rsidRDefault="001123BC" w:rsidP="001123BC">
          <w:pPr>
            <w:pStyle w:val="Heading6"/>
            <w:spacing w:before="0"/>
            <w:rPr>
              <w:sz w:val="20"/>
              <w:lang w:eastAsia="en-US"/>
            </w:rPr>
          </w:pPr>
          <w:r>
            <w:rPr>
              <w:sz w:val="20"/>
              <w:lang w:eastAsia="en-US"/>
            </w:rPr>
            <w:t xml:space="preserve">CÔNG TY LUẬT TNHH DƯƠNG GIA – DUONG GIA LAW COMPANY LIMITED </w:t>
          </w:r>
        </w:p>
        <w:p w:rsidR="001123BC" w:rsidRDefault="001123BC" w:rsidP="001123BC">
          <w:pPr>
            <w:rPr>
              <w:rFonts w:eastAsia="MS Mincho"/>
              <w:sz w:val="20"/>
            </w:rPr>
          </w:pPr>
          <w:r>
            <w:rPr>
              <w:sz w:val="20"/>
            </w:rPr>
            <w:t>89 To Vinh Dien Street, Thanh Xuan District, Hanoi City, Viet Nam</w:t>
          </w:r>
        </w:p>
        <w:p w:rsidR="001123BC" w:rsidRDefault="001123BC" w:rsidP="001123BC">
          <w:pPr>
            <w:rPr>
              <w:sz w:val="20"/>
              <w:lang w:eastAsia="ja-JP"/>
            </w:rPr>
          </w:pPr>
          <w:r>
            <w:rPr>
              <w:sz w:val="20"/>
            </w:rPr>
            <w:t>Tel:   1900.6568                            Fax: 024.73.000.111</w:t>
          </w:r>
        </w:p>
        <w:p w:rsidR="00C75B54" w:rsidRPr="004605B1" w:rsidRDefault="001123BC" w:rsidP="001123BC">
          <w:pPr>
            <w:spacing w:line="360" w:lineRule="auto"/>
            <w:ind w:left="-108"/>
            <w:jc w:val="both"/>
            <w:rPr>
              <w:color w:val="000000"/>
              <w:sz w:val="18"/>
              <w:szCs w:val="18"/>
            </w:rPr>
          </w:pPr>
          <w:r>
            <w:rPr>
              <w:sz w:val="20"/>
            </w:rPr>
            <w:t xml:space="preserve">Email: </w:t>
          </w:r>
          <w:hyperlink r:id="rId2" w:history="1">
            <w:r>
              <w:rPr>
                <w:rStyle w:val="Hyperlink"/>
                <w:sz w:val="20"/>
              </w:rPr>
              <w:t>lienhe@luatduonggia.vn</w:t>
            </w:r>
          </w:hyperlink>
          <w:r>
            <w:rPr>
              <w:sz w:val="20"/>
            </w:rPr>
            <w:t xml:space="preserve">    Website: </w:t>
          </w:r>
          <w:hyperlink r:id="rId3" w:history="1">
            <w:r>
              <w:rPr>
                <w:rStyle w:val="Hyperlink"/>
                <w:sz w:val="20"/>
              </w:rPr>
              <w:t>http://www.luatduonggia.vn</w:t>
            </w:r>
          </w:hyperlink>
          <w:bookmarkStart w:id="3" w:name="_GoBack"/>
          <w:bookmarkEnd w:id="3"/>
        </w:p>
      </w:tc>
    </w:tr>
  </w:tbl>
  <w:p w:rsidR="00C75B54" w:rsidRDefault="00C75B5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3BC" w:rsidRDefault="001123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B54"/>
    <w:rsid w:val="001123BC"/>
    <w:rsid w:val="00537BB0"/>
    <w:rsid w:val="00651047"/>
    <w:rsid w:val="00C75B54"/>
    <w:rsid w:val="00E81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F7A385-B2DA-45BC-888A-6C066DE42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5B54"/>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semiHidden/>
    <w:unhideWhenUsed/>
    <w:qFormat/>
    <w:rsid w:val="001123BC"/>
    <w:pPr>
      <w:spacing w:before="240" w:after="60"/>
      <w:outlineLvl w:val="5"/>
    </w:pPr>
    <w:rPr>
      <w:rFonts w:ascii="Calibri" w:hAnsi="Calibri"/>
      <w:b/>
      <w:bCs/>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5B54"/>
    <w:pPr>
      <w:tabs>
        <w:tab w:val="center" w:pos="4680"/>
        <w:tab w:val="right" w:pos="9360"/>
      </w:tabs>
    </w:pPr>
  </w:style>
  <w:style w:type="character" w:customStyle="1" w:styleId="HeaderChar">
    <w:name w:val="Header Char"/>
    <w:basedOn w:val="DefaultParagraphFont"/>
    <w:link w:val="Header"/>
    <w:uiPriority w:val="99"/>
    <w:rsid w:val="00C75B5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75B54"/>
    <w:pPr>
      <w:tabs>
        <w:tab w:val="center" w:pos="4680"/>
        <w:tab w:val="right" w:pos="9360"/>
      </w:tabs>
    </w:pPr>
  </w:style>
  <w:style w:type="character" w:customStyle="1" w:styleId="FooterChar">
    <w:name w:val="Footer Char"/>
    <w:basedOn w:val="DefaultParagraphFont"/>
    <w:link w:val="Footer"/>
    <w:uiPriority w:val="99"/>
    <w:rsid w:val="00C75B5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75B54"/>
    <w:rPr>
      <w:rFonts w:ascii="Tahoma" w:hAnsi="Tahoma" w:cs="Tahoma"/>
      <w:sz w:val="16"/>
      <w:szCs w:val="16"/>
    </w:rPr>
  </w:style>
  <w:style w:type="character" w:customStyle="1" w:styleId="BalloonTextChar">
    <w:name w:val="Balloon Text Char"/>
    <w:basedOn w:val="DefaultParagraphFont"/>
    <w:link w:val="BalloonText"/>
    <w:uiPriority w:val="99"/>
    <w:semiHidden/>
    <w:rsid w:val="00C75B54"/>
    <w:rPr>
      <w:rFonts w:ascii="Tahoma" w:eastAsia="Times New Roman" w:hAnsi="Tahoma" w:cs="Tahoma"/>
      <w:sz w:val="16"/>
      <w:szCs w:val="16"/>
    </w:rPr>
  </w:style>
  <w:style w:type="character" w:customStyle="1" w:styleId="Heading6Char">
    <w:name w:val="Heading 6 Char"/>
    <w:basedOn w:val="DefaultParagraphFont"/>
    <w:link w:val="Heading6"/>
    <w:semiHidden/>
    <w:rsid w:val="001123BC"/>
    <w:rPr>
      <w:rFonts w:ascii="Calibri" w:eastAsia="Times New Roman" w:hAnsi="Calibri" w:cs="Times New Roman"/>
      <w:b/>
      <w:bCs/>
      <w:lang w:val="x-none" w:eastAsia="x-none"/>
    </w:rPr>
  </w:style>
  <w:style w:type="character" w:styleId="Hyperlink">
    <w:name w:val="Hyperlink"/>
    <w:uiPriority w:val="99"/>
    <w:semiHidden/>
    <w:unhideWhenUsed/>
    <w:rsid w:val="001123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665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http://www.luatduonggia.vn/" TargetMode="External"/><Relationship Id="rId2" Type="http://schemas.openxmlformats.org/officeDocument/2006/relationships/hyperlink" Target="mailto:lienhe@luatduonggia.vn"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313</Words>
  <Characters>1788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Mai</dc:creator>
  <cp:lastModifiedBy>Admin</cp:lastModifiedBy>
  <cp:revision>3</cp:revision>
  <dcterms:created xsi:type="dcterms:W3CDTF">2019-05-31T08:20:00Z</dcterms:created>
  <dcterms:modified xsi:type="dcterms:W3CDTF">2020-09-04T08:21:00Z</dcterms:modified>
</cp:coreProperties>
</file>