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23D48" w:rsidTr="007151E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23D48" w:rsidRDefault="00023D48" w:rsidP="00023D48">
            <w:pPr>
              <w:spacing w:before="120"/>
              <w:jc w:val="center"/>
            </w:pPr>
            <w:bookmarkStart w:id="0" w:name="_GoBack" w:colFirst="1" w:colLast="1"/>
            <w:r>
              <w:rPr>
                <w:b/>
                <w:bCs/>
                <w:lang w:val="vi-VN"/>
              </w:rPr>
              <w:t>BỘ GIÁO DỤC VÀ ĐÀO TẠO</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23D48" w:rsidRDefault="00023D48" w:rsidP="00023D4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23D48" w:rsidTr="007151E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23D48" w:rsidRDefault="00023D48" w:rsidP="00023D48">
            <w:pPr>
              <w:spacing w:before="120"/>
              <w:jc w:val="center"/>
            </w:pPr>
            <w:r>
              <w:rPr>
                <w:lang w:val="vi-VN"/>
              </w:rPr>
              <w:t xml:space="preserve">Số: </w:t>
            </w:r>
            <w:r>
              <w:t>28</w:t>
            </w:r>
            <w:r>
              <w:rPr>
                <w:lang w:val="vi-VN"/>
              </w:rPr>
              <w:t>/2017/TT-BGDĐT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23D48" w:rsidRDefault="00023D48" w:rsidP="00023D48">
            <w:pPr>
              <w:spacing w:before="120"/>
              <w:jc w:val="center"/>
            </w:pPr>
            <w:r>
              <w:rPr>
                <w:i/>
                <w:iCs/>
                <w:lang w:val="vi-VN"/>
              </w:rPr>
              <w:t xml:space="preserve">Hà Nội, ngày </w:t>
            </w:r>
            <w:r>
              <w:rPr>
                <w:i/>
                <w:iCs/>
              </w:rPr>
              <w:t>30</w:t>
            </w:r>
            <w:r>
              <w:rPr>
                <w:i/>
                <w:iCs/>
                <w:lang w:val="vi-VN"/>
              </w:rPr>
              <w:t xml:space="preserve"> tháng </w:t>
            </w:r>
            <w:r>
              <w:rPr>
                <w:i/>
                <w:iCs/>
              </w:rPr>
              <w:t>11</w:t>
            </w:r>
            <w:r>
              <w:rPr>
                <w:i/>
                <w:iCs/>
                <w:lang w:val="vi-VN"/>
              </w:rPr>
              <w:t xml:space="preserve"> năm </w:t>
            </w:r>
            <w:r>
              <w:rPr>
                <w:i/>
                <w:iCs/>
              </w:rPr>
              <w:t>2017</w:t>
            </w:r>
          </w:p>
        </w:tc>
      </w:tr>
    </w:tbl>
    <w:bookmarkEnd w:id="0"/>
    <w:p w:rsidR="00023D48" w:rsidRDefault="00023D48" w:rsidP="00023D48">
      <w:pPr>
        <w:spacing w:before="120" w:after="280" w:afterAutospacing="1"/>
        <w:jc w:val="both"/>
      </w:pPr>
      <w:r>
        <w:t> </w:t>
      </w:r>
    </w:p>
    <w:p w:rsidR="00023D48" w:rsidRDefault="00023D48" w:rsidP="00023D48">
      <w:pPr>
        <w:spacing w:before="120" w:after="280" w:afterAutospacing="1"/>
        <w:jc w:val="center"/>
      </w:pPr>
      <w:bookmarkStart w:id="1" w:name="loai_1"/>
      <w:r>
        <w:rPr>
          <w:b/>
          <w:bCs/>
          <w:lang w:val="vi-VN"/>
        </w:rPr>
        <w:t>THÔNG TƯ</w:t>
      </w:r>
      <w:bookmarkEnd w:id="1"/>
    </w:p>
    <w:p w:rsidR="00023D48" w:rsidRDefault="00023D48" w:rsidP="00023D48">
      <w:pPr>
        <w:spacing w:before="120" w:after="280" w:afterAutospacing="1"/>
        <w:jc w:val="center"/>
      </w:pPr>
      <w:bookmarkStart w:id="2" w:name="loai_1_name"/>
      <w:r>
        <w:rPr>
          <w:lang w:val="vi-VN"/>
        </w:rPr>
        <w:t>QUY ĐỊNH TIÊU CHUẨN, ĐIỀU KIỆN, NỘI DUNG, HÌNH THỨC XÉT THĂNG HẠNG CHỨC DANH NGHỀ NGHIỆP GIÁO VIÊN MẦM NON, PHỔ THÔNG CÔNG LẬP</w:t>
      </w:r>
      <w:bookmarkEnd w:id="2"/>
    </w:p>
    <w:p w:rsidR="00023D48" w:rsidRDefault="00023D48" w:rsidP="00023D48">
      <w:pPr>
        <w:spacing w:before="120" w:after="280" w:afterAutospacing="1"/>
        <w:jc w:val="both"/>
      </w:pPr>
      <w:r>
        <w:rPr>
          <w:i/>
          <w:iCs/>
          <w:lang w:val="vi-VN"/>
        </w:rPr>
        <w:t>Căn cứ Nghị định số 123/2016/NĐ-CP ngày 01 tháng 9 năm 2016 của Chính phủ quy định chức năng, nhiệm vụ, quyền hạn và cơ cấu tổ chức của Bộ, cơ quan ngang Bộ;</w:t>
      </w:r>
    </w:p>
    <w:p w:rsidR="00023D48" w:rsidRDefault="00023D48" w:rsidP="00023D48">
      <w:pPr>
        <w:spacing w:before="120" w:after="280" w:afterAutospacing="1"/>
        <w:jc w:val="both"/>
      </w:pPr>
      <w:r>
        <w:rPr>
          <w:i/>
          <w:iCs/>
          <w:lang w:val="vi-VN"/>
        </w:rPr>
        <w:t>Căn cứ Nghị định số 69/2017/NĐ-CP ngày 25 tháng 5 năm 2017 của Chính phủ quy định chức năng, nhiệm vụ, quyền hạn và cơ cấu tổ chức của Bộ Giáo dục và Đào tạo;</w:t>
      </w:r>
    </w:p>
    <w:p w:rsidR="00023D48" w:rsidRDefault="00023D48" w:rsidP="00023D48">
      <w:pPr>
        <w:spacing w:before="120" w:after="280" w:afterAutospacing="1"/>
        <w:jc w:val="both"/>
      </w:pPr>
      <w:r>
        <w:rPr>
          <w:i/>
          <w:iCs/>
          <w:lang w:val="vi-VN"/>
        </w:rPr>
        <w:t>Căn cứ Nghị định số 29/2012/NĐ-CP ngày 12 tháng 4 năm 2012 của Chính phủ về tuyển dụng, sử dụng và quản lý viên chức;</w:t>
      </w:r>
    </w:p>
    <w:p w:rsidR="00023D48" w:rsidRDefault="00023D48" w:rsidP="00023D48">
      <w:pPr>
        <w:spacing w:before="120" w:after="280" w:afterAutospacing="1"/>
        <w:jc w:val="both"/>
      </w:pPr>
      <w:r>
        <w:rPr>
          <w:i/>
          <w:iCs/>
          <w:lang w:val="vi-VN"/>
        </w:rPr>
        <w:t>Theo đề nghị của Cục trưởng Cục Nhà giáo và Cán bộ quản lý giáo dục,</w:t>
      </w:r>
    </w:p>
    <w:p w:rsidR="00023D48" w:rsidRDefault="00023D48" w:rsidP="00023D48">
      <w:pPr>
        <w:spacing w:before="120" w:after="280" w:afterAutospacing="1"/>
        <w:jc w:val="both"/>
      </w:pPr>
      <w:r>
        <w:rPr>
          <w:i/>
          <w:iCs/>
          <w:lang w:val="vi-VN"/>
        </w:rPr>
        <w:t>Bộ trưởng Bộ Giáo dục và Đào tạo ban hành Thông tư quy định tiêu chuẩn, điều kiện, nội dung, hình thức xét thăng hạng chức danh nghề nghiệp giáo viên mầm non, phổ thông công lập.</w:t>
      </w:r>
    </w:p>
    <w:p w:rsidR="00023D48" w:rsidRDefault="00023D48" w:rsidP="00023D48">
      <w:pPr>
        <w:spacing w:before="120" w:after="280" w:afterAutospacing="1"/>
        <w:jc w:val="center"/>
      </w:pPr>
      <w:bookmarkStart w:id="3" w:name="chuong_1"/>
      <w:r>
        <w:rPr>
          <w:b/>
          <w:bCs/>
          <w:lang w:val="vi-VN"/>
        </w:rPr>
        <w:t>Chương I</w:t>
      </w:r>
      <w:bookmarkEnd w:id="3"/>
    </w:p>
    <w:p w:rsidR="00023D48" w:rsidRDefault="00023D48" w:rsidP="00023D48">
      <w:pPr>
        <w:spacing w:before="120" w:after="280" w:afterAutospacing="1"/>
        <w:jc w:val="center"/>
      </w:pPr>
      <w:bookmarkStart w:id="4" w:name="chuong_1_name"/>
      <w:r>
        <w:rPr>
          <w:b/>
          <w:bCs/>
          <w:lang w:val="vi-VN"/>
        </w:rPr>
        <w:t>NHỮNG QUY ĐỊNH CHUNG</w:t>
      </w:r>
      <w:bookmarkEnd w:id="4"/>
    </w:p>
    <w:p w:rsidR="00023D48" w:rsidRDefault="00023D48" w:rsidP="00023D48">
      <w:pPr>
        <w:spacing w:before="120" w:after="280" w:afterAutospacing="1"/>
        <w:jc w:val="both"/>
      </w:pPr>
      <w:bookmarkStart w:id="5" w:name="dieu_1"/>
      <w:r>
        <w:rPr>
          <w:b/>
          <w:bCs/>
          <w:lang w:val="vi-VN"/>
        </w:rPr>
        <w:t>Điều 1. Phạm vi điều chỉnh và đối tượng áp dụng</w:t>
      </w:r>
      <w:bookmarkEnd w:id="5"/>
    </w:p>
    <w:p w:rsidR="00023D48" w:rsidRDefault="00023D48" w:rsidP="00023D48">
      <w:pPr>
        <w:spacing w:before="120" w:after="280" w:afterAutospacing="1"/>
        <w:jc w:val="both"/>
      </w:pPr>
      <w:r>
        <w:rPr>
          <w:lang w:val="vi-VN"/>
        </w:rPr>
        <w:t>1. Thông tư này quy định tiêu chuẩn, điều kiện, nội dung, hình thức xét thăng hạng chức danh nghề nghiệp giáo viên mầm non, ph</w:t>
      </w:r>
      <w:r>
        <w:t xml:space="preserve">ổ </w:t>
      </w:r>
      <w:r>
        <w:rPr>
          <w:lang w:val="vi-VN"/>
        </w:rPr>
        <w:t>thông công lập (sau đây gọi chung là kỳ xét thăng hạng chức danh nghề nghiệp giáo viên).</w:t>
      </w:r>
    </w:p>
    <w:p w:rsidR="00023D48" w:rsidRDefault="00023D48" w:rsidP="00023D48">
      <w:pPr>
        <w:spacing w:before="120" w:after="280" w:afterAutospacing="1"/>
        <w:jc w:val="both"/>
      </w:pPr>
      <w:r>
        <w:rPr>
          <w:lang w:val="vi-VN"/>
        </w:rPr>
        <w:t xml:space="preserve">2. Thông tư này áp dụng đối với giáo viên, cán bộ quản lý giáo dục (sau đây gọi chung là giáo viên) đang làm nhiệm vụ giảng dạy, giáo dục trong các cơ sở giáo dục mầm non, phổ thông và trường chuyên biệt công lập hoặc đang giảng dạy chương trình giáo dục thường xuyên trong các trung tâm giáo dục thường xuyên cấp tỉnh/cấp huyện, trung tâm giáo dục nghề nghiệp - giáo dục </w:t>
      </w:r>
      <w:r>
        <w:rPr>
          <w:lang w:val="vi-VN"/>
        </w:rPr>
        <w:lastRenderedPageBreak/>
        <w:t>thường xuyên (sau đây gọi chung là cơ sở giáo dục) và đã được xếp hạng theo tiêu chuẩn chức danh nghề nghiệp giáo viên; các tổ chức, cá nhân có liên quan.</w:t>
      </w:r>
    </w:p>
    <w:p w:rsidR="00023D48" w:rsidRDefault="00023D48" w:rsidP="00023D48">
      <w:pPr>
        <w:spacing w:before="120" w:after="280" w:afterAutospacing="1"/>
        <w:jc w:val="both"/>
      </w:pPr>
      <w:r>
        <w:rPr>
          <w:lang w:val="vi-VN"/>
        </w:rPr>
        <w:t>3. Giáo viên dự bị đại học được áp dụng Thông tư này để tham dự xét thăng hạng chức danh nghề nghiệp sau khi được chuyển xếp hạng theo mã số và tiêu chuẩn chức danh nghề nghiệp giáo viên dự bị đại học.</w:t>
      </w:r>
    </w:p>
    <w:p w:rsidR="00023D48" w:rsidRDefault="00023D48" w:rsidP="00023D48">
      <w:pPr>
        <w:spacing w:before="120" w:after="280" w:afterAutospacing="1"/>
        <w:jc w:val="both"/>
      </w:pPr>
      <w:bookmarkStart w:id="6" w:name="dieu_2"/>
      <w:r>
        <w:rPr>
          <w:b/>
          <w:bCs/>
          <w:lang w:val="vi-VN"/>
        </w:rPr>
        <w:t>Điều 2. Nguyên tắc xét thăng hạng</w:t>
      </w:r>
      <w:bookmarkEnd w:id="6"/>
    </w:p>
    <w:p w:rsidR="00023D48" w:rsidRDefault="00023D48" w:rsidP="00023D48">
      <w:pPr>
        <w:spacing w:before="120" w:after="280" w:afterAutospacing="1"/>
        <w:jc w:val="both"/>
      </w:pPr>
      <w:r>
        <w:rPr>
          <w:lang w:val="vi-VN"/>
        </w:rPr>
        <w:t>1. Việc cử giáo viên dự xét thăng hạng chức danh nghề nghiệp phải căn cứ vào vị trí việc làm, cơ cấu chức danh nghề nghiệp, nhu cầu của c</w:t>
      </w:r>
      <w:r>
        <w:t>á</w:t>
      </w:r>
      <w:r>
        <w:rPr>
          <w:lang w:val="vi-VN"/>
        </w:rPr>
        <w:t>c cơ sở giáo dục công lập và tình hình thực tế của địa phương.</w:t>
      </w:r>
    </w:p>
    <w:p w:rsidR="00023D48" w:rsidRDefault="00023D48" w:rsidP="00023D48">
      <w:pPr>
        <w:spacing w:before="120" w:after="280" w:afterAutospacing="1"/>
        <w:jc w:val="both"/>
      </w:pPr>
      <w:r>
        <w:rPr>
          <w:lang w:val="vi-VN"/>
        </w:rPr>
        <w:t>2. Giáo viên được tham dự xét thăng hạng từ hạng thấp lên hạng cao hơn liền kề cùng chức danh nghề nghiệp đang giữ.</w:t>
      </w:r>
    </w:p>
    <w:p w:rsidR="00023D48" w:rsidRDefault="00023D48" w:rsidP="00023D48">
      <w:pPr>
        <w:spacing w:before="120" w:after="280" w:afterAutospacing="1"/>
        <w:jc w:val="both"/>
      </w:pPr>
      <w:r>
        <w:rPr>
          <w:lang w:val="vi-VN"/>
        </w:rPr>
        <w:t>3. Giáo viên dự xét thăng hạng phải có đủ hồ sơ và các minh chứng theo quy định. Đối với các tiêu chuẩn, tiêu chí không có minh chứng là các văn bằng, chứng chỉ, chứng nhận, quyết định, bằng khen, giấy khen, đề tài, đề án hoặc sản phẩm được ứng dụng trong giáo dục, giảng dạy học sinh và tài liệu có liên quan thì minh chứng là xác nhận của cơ quan sử dụng giáo viên về năng lực của giáo viên đáp ứng các tiêu chuẩn, tiêu chí đó.</w:t>
      </w:r>
    </w:p>
    <w:p w:rsidR="00023D48" w:rsidRDefault="00023D48" w:rsidP="00023D48">
      <w:pPr>
        <w:spacing w:before="120" w:after="280" w:afterAutospacing="1"/>
        <w:jc w:val="both"/>
      </w:pPr>
      <w:r>
        <w:rPr>
          <w:lang w:val="vi-VN"/>
        </w:rPr>
        <w:t>4. Việc tổ chức xét thăng hạng chức danh nghề nghiệp phải bình đẳng, công khai, minh bạch, khách quan và đúng quy định của pháp luật.</w:t>
      </w:r>
    </w:p>
    <w:p w:rsidR="00023D48" w:rsidRDefault="00023D48" w:rsidP="00023D48">
      <w:pPr>
        <w:spacing w:before="120" w:after="280" w:afterAutospacing="1"/>
        <w:jc w:val="both"/>
      </w:pPr>
      <w:bookmarkStart w:id="7" w:name="dieu_3"/>
      <w:r>
        <w:rPr>
          <w:b/>
          <w:bCs/>
          <w:lang w:val="vi-VN"/>
        </w:rPr>
        <w:t>Điều 3. Tiêu chuẩn, điều kiện đăng ký dự xét thăng hạng chức danh nghề nghiệp</w:t>
      </w:r>
      <w:bookmarkEnd w:id="7"/>
    </w:p>
    <w:p w:rsidR="00023D48" w:rsidRDefault="00023D48" w:rsidP="00023D48">
      <w:pPr>
        <w:spacing w:before="120" w:after="280" w:afterAutospacing="1"/>
        <w:jc w:val="both"/>
      </w:pPr>
      <w:r>
        <w:rPr>
          <w:lang w:val="vi-VN"/>
        </w:rPr>
        <w:t>Giáo viên dự xét thăng hạng chức danh nghề nghiệp phải đáp ứng các tiêu chu</w:t>
      </w:r>
      <w:r>
        <w:t>ẩ</w:t>
      </w:r>
      <w:r>
        <w:rPr>
          <w:lang w:val="vi-VN"/>
        </w:rPr>
        <w:t>n, điều kiện sau:</w:t>
      </w:r>
    </w:p>
    <w:p w:rsidR="00023D48" w:rsidRDefault="00023D48" w:rsidP="00023D48">
      <w:pPr>
        <w:spacing w:before="120" w:after="280" w:afterAutospacing="1"/>
        <w:jc w:val="both"/>
      </w:pPr>
      <w:r>
        <w:rPr>
          <w:lang w:val="vi-VN"/>
        </w:rPr>
        <w:t>1. Cơ sở giáo dục có nhu cầu về vị trí việc làm của chức danh nghề nghiệp ở hạng đăng ký dự xét và được cấp có thẩm quyền cử tham dự kỳ xét thăng hạng.</w:t>
      </w:r>
    </w:p>
    <w:p w:rsidR="00023D48" w:rsidRDefault="00023D48" w:rsidP="00023D48">
      <w:pPr>
        <w:spacing w:before="120" w:after="280" w:afterAutospacing="1"/>
        <w:jc w:val="both"/>
      </w:pPr>
      <w:r>
        <w:rPr>
          <w:lang w:val="vi-VN"/>
        </w:rPr>
        <w:t>2. Được cấp có thẩm quyền đánh giá hoàn thành tốt nhiệm vụ trở lên trong thời gian công tác 03 (ba) năm liên tục tính đến thời điểm hết hạn nộp hồ sơ dự xét; có đủ phẩm chất và đạo đức nghề nghiệp; không trong thời gian bị thi hành kỷ luật hoặc đã có thông báo về việc xem xét xử l</w:t>
      </w:r>
      <w:r>
        <w:t xml:space="preserve">ý </w:t>
      </w:r>
      <w:r>
        <w:rPr>
          <w:lang w:val="vi-VN"/>
        </w:rPr>
        <w:t>kỷ luật của cơ quan, đơn vị có thẩm quyền.</w:t>
      </w:r>
    </w:p>
    <w:p w:rsidR="00023D48" w:rsidRDefault="00023D48" w:rsidP="00023D48">
      <w:pPr>
        <w:spacing w:before="120" w:after="280" w:afterAutospacing="1"/>
        <w:jc w:val="both"/>
      </w:pPr>
      <w:r>
        <w:rPr>
          <w:lang w:val="vi-VN"/>
        </w:rPr>
        <w:t>3. Có đủ trình độ đào tạo, bồi dưỡng, năng lực chuyên môn, nghiệp vụ của chức danh nghề nghiệp ở hạng đăng ký dự xét theo quy định tại Thông tư liên tịch số 20/2015/TTLT-BGD</w:t>
      </w:r>
      <w:r>
        <w:t>Đ</w:t>
      </w:r>
      <w:r>
        <w:rPr>
          <w:lang w:val="vi-VN"/>
        </w:rPr>
        <w:t xml:space="preserve">T-BNV ngày 14 tháng 9 năm 2015 của Bộ Giáo dục và Đào tạo và Bộ Nội vụ quy định mã số, tiêu chuẩn chức </w:t>
      </w:r>
      <w:r>
        <w:rPr>
          <w:lang w:val="vi-VN"/>
        </w:rPr>
        <w:lastRenderedPageBreak/>
        <w:t>danh nghề nghiệp giáo viên mầm non công lập; Thông tư liên tịch số 21/2015/TTLT-BGDĐT-BNV ngày 16 tháng 9 năm 2015 của Bộ Giáo dục và Đào tạo và Bộ Nội vụ quy định mã số, tiêu chuẩn chức danh nghề nghiệp giáo viên tiểu học công lập; Thông tư liên tịch số 22/2015/TTLT-BGD</w:t>
      </w:r>
      <w:r>
        <w:t>Đ</w:t>
      </w:r>
      <w:r>
        <w:rPr>
          <w:lang w:val="vi-VN"/>
        </w:rPr>
        <w:t>T-BNV ngày 16 tháng 9 năm 2015 của Bộ Giáo dục và Đào tạo và Bộ Nội vụ quy định mã số, tiêu chuẩn chức danh nghề nghiệp giáo viên trung học cơ sở công lập; Thông tư liên tịch số 23/2015/TTLT-BGDĐT-BNV ngày 16 tháng 9 năm 2015 của Bộ Giáo dục và Đào tạo và Bộ Nội vụ quy định mã s</w:t>
      </w:r>
      <w:r>
        <w:t>ố</w:t>
      </w:r>
      <w:r>
        <w:rPr>
          <w:lang w:val="vi-VN"/>
        </w:rPr>
        <w:t>, tiêu chuẩn chức danh nghề nghiệp giáo viên trung học ph</w:t>
      </w:r>
      <w:r>
        <w:t>ổ</w:t>
      </w:r>
      <w:r>
        <w:rPr>
          <w:lang w:val="vi-VN"/>
        </w:rPr>
        <w:t xml:space="preserve"> thông công lập.</w:t>
      </w:r>
    </w:p>
    <w:p w:rsidR="00023D48" w:rsidRDefault="00023D48" w:rsidP="00023D48">
      <w:pPr>
        <w:spacing w:before="120" w:after="280" w:afterAutospacing="1"/>
        <w:jc w:val="both"/>
      </w:pPr>
      <w:r>
        <w:rPr>
          <w:lang w:val="vi-VN"/>
        </w:rPr>
        <w:t>Giáo viên dự bị đại học khi áp dụng Thông tư này để dự xét thăng hạng phải có đủ trình độ đào tạo, bồi dưỡng, năng lực chuyên môn nghiệp vụ của chức danh nghề nghiệp ở hạng đăng ký dự xét theo quy định về tiêu chu</w:t>
      </w:r>
      <w:r>
        <w:t>ẩ</w:t>
      </w:r>
      <w:r>
        <w:rPr>
          <w:lang w:val="vi-VN"/>
        </w:rPr>
        <w:t>n chức danh nghề nghiệp giáo viên dự bị đại học do Bộ Giáo dục và Đào tạo ban hành.</w:t>
      </w:r>
    </w:p>
    <w:p w:rsidR="00023D48" w:rsidRDefault="00023D48" w:rsidP="00023D48">
      <w:pPr>
        <w:spacing w:before="120" w:after="280" w:afterAutospacing="1"/>
        <w:jc w:val="center"/>
      </w:pPr>
      <w:bookmarkStart w:id="8" w:name="chuong_2"/>
      <w:r>
        <w:rPr>
          <w:b/>
          <w:bCs/>
          <w:lang w:val="vi-VN"/>
        </w:rPr>
        <w:t>Chương II</w:t>
      </w:r>
      <w:bookmarkEnd w:id="8"/>
    </w:p>
    <w:p w:rsidR="00023D48" w:rsidRDefault="00023D48" w:rsidP="00023D48">
      <w:pPr>
        <w:spacing w:before="120" w:after="280" w:afterAutospacing="1"/>
        <w:jc w:val="center"/>
      </w:pPr>
      <w:bookmarkStart w:id="9" w:name="chuong_2_name"/>
      <w:r>
        <w:rPr>
          <w:b/>
          <w:bCs/>
          <w:lang w:val="vi-VN"/>
        </w:rPr>
        <w:t>NỘI DUNG, HÌNH THỨC, HỒ SƠ, CÁCH TÍNH ĐIỂM VÀ XÁC ĐỊNH NGƯỜI ĐƯỢC THĂNG HẠNG CHỨC DANH NGHỀ NGHIỆP</w:t>
      </w:r>
      <w:bookmarkEnd w:id="9"/>
    </w:p>
    <w:p w:rsidR="00023D48" w:rsidRDefault="00023D48" w:rsidP="00023D48">
      <w:pPr>
        <w:spacing w:before="120" w:after="280" w:afterAutospacing="1"/>
        <w:jc w:val="both"/>
      </w:pPr>
      <w:bookmarkStart w:id="10" w:name="dieu_4"/>
      <w:r>
        <w:rPr>
          <w:b/>
          <w:bCs/>
          <w:lang w:val="vi-VN"/>
        </w:rPr>
        <w:t>Điều 4. Nội dung và hình thức xét thăng hạng</w:t>
      </w:r>
      <w:bookmarkEnd w:id="10"/>
    </w:p>
    <w:p w:rsidR="00023D48" w:rsidRDefault="00023D48" w:rsidP="00023D48">
      <w:pPr>
        <w:spacing w:before="120" w:after="280" w:afterAutospacing="1"/>
        <w:jc w:val="both"/>
      </w:pPr>
      <w:r>
        <w:rPr>
          <w:lang w:val="vi-VN"/>
        </w:rPr>
        <w:t>1. Xét thăng hạng chức danh nghề nghiệp giáo viên mầm non, tiểu học</w:t>
      </w:r>
    </w:p>
    <w:p w:rsidR="00023D48" w:rsidRDefault="00023D48" w:rsidP="00023D48">
      <w:pPr>
        <w:spacing w:before="120" w:after="280" w:afterAutospacing="1"/>
        <w:jc w:val="both"/>
      </w:pPr>
      <w:r>
        <w:rPr>
          <w:lang w:val="vi-VN"/>
        </w:rPr>
        <w:t>a) Xét thăng hạng chức danh nghề nghiệp từ giáo viên hạng IV lên giáo viên hạng III: Th</w:t>
      </w:r>
      <w:r>
        <w:t>ô</w:t>
      </w:r>
      <w:r>
        <w:rPr>
          <w:lang w:val="vi-VN"/>
        </w:rPr>
        <w:t>ng qua việc xét và chấm điểm hồ sơ theo quy định tiêu chuẩn chức danh nghề nghiệp giáo viên hạng III của mỗi cấp học;</w:t>
      </w:r>
    </w:p>
    <w:p w:rsidR="00023D48" w:rsidRDefault="00023D48" w:rsidP="00023D48">
      <w:pPr>
        <w:spacing w:before="120" w:after="280" w:afterAutospacing="1"/>
        <w:jc w:val="both"/>
      </w:pPr>
      <w:r>
        <w:rPr>
          <w:lang w:val="vi-VN"/>
        </w:rPr>
        <w:t xml:space="preserve">b) Xét thăng hạng chức danh nghề nghiệp từ giáo viên hạng III </w:t>
      </w:r>
      <w:r>
        <w:t>l</w:t>
      </w:r>
      <w:r>
        <w:rPr>
          <w:lang w:val="vi-VN"/>
        </w:rPr>
        <w:t>ên giáo viên hạng II: Thông qua việc xét, chấm điểm hồ sơ và sát hạch theo quy định tiêu chuẩn chức danh nghề nghiệp giáo viên hạng II của mỗi cấp học.</w:t>
      </w:r>
    </w:p>
    <w:p w:rsidR="00023D48" w:rsidRDefault="00023D48" w:rsidP="00023D48">
      <w:pPr>
        <w:spacing w:before="120" w:after="280" w:afterAutospacing="1"/>
        <w:jc w:val="both"/>
      </w:pPr>
      <w:r>
        <w:rPr>
          <w:lang w:val="vi-VN"/>
        </w:rPr>
        <w:t>2. Xét thăng hạng chức danh nghề nghiệp giáo viên trung học cơ sở, trung học phổ thông</w:t>
      </w:r>
    </w:p>
    <w:p w:rsidR="00023D48" w:rsidRDefault="00023D48" w:rsidP="00023D48">
      <w:pPr>
        <w:spacing w:before="120" w:after="280" w:afterAutospacing="1"/>
        <w:jc w:val="both"/>
      </w:pPr>
      <w:r>
        <w:rPr>
          <w:lang w:val="vi-VN"/>
        </w:rPr>
        <w:t>a) Xét thăng hạng chức danh nghề nghiệp từ giáo viên hạng III lên giáo viên hạng II: Thông qua việc xét và chấm điểm hồ sơ theo quy định tiêu chu</w:t>
      </w:r>
      <w:r>
        <w:t>ẩ</w:t>
      </w:r>
      <w:r>
        <w:rPr>
          <w:lang w:val="vi-VN"/>
        </w:rPr>
        <w:t>n chức danh nghề nghiệp giáo viên hạng II của mỗi cấp học;</w:t>
      </w:r>
    </w:p>
    <w:p w:rsidR="00023D48" w:rsidRDefault="00023D48" w:rsidP="00023D48">
      <w:pPr>
        <w:spacing w:before="120" w:after="280" w:afterAutospacing="1"/>
        <w:jc w:val="both"/>
      </w:pPr>
      <w:r>
        <w:rPr>
          <w:lang w:val="vi-VN"/>
        </w:rPr>
        <w:t>b) Xét thăng hạng chức danh nghề nghiệp từ giáo viên hạng II lên giáo viên hạng I: Thông qua việc xét, chấm điểm hồ sơ và sát hạch theo quy định tiêu chu</w:t>
      </w:r>
      <w:r>
        <w:t>ẩ</w:t>
      </w:r>
      <w:r>
        <w:rPr>
          <w:lang w:val="vi-VN"/>
        </w:rPr>
        <w:t>n chức danh nghề nghiệp giáo viên hạng I của mỗi cấp học.</w:t>
      </w:r>
    </w:p>
    <w:p w:rsidR="00023D48" w:rsidRDefault="00023D48" w:rsidP="00023D48">
      <w:pPr>
        <w:spacing w:before="120" w:after="280" w:afterAutospacing="1"/>
        <w:jc w:val="both"/>
      </w:pPr>
      <w:r>
        <w:rPr>
          <w:lang w:val="vi-VN"/>
        </w:rPr>
        <w:lastRenderedPageBreak/>
        <w:t>3. Giáo viên mầm non, tiểu học hạng III dự xét thăng hạng lên hạng II; giáo viên trung học cơ sở, trung học phổ thông hạng II dự xét thăng hạng lên hạng I khi điểm hồ sơ đạt 100 điểm thì được tham gia sát hạch. Những giáo viên không được tham gia sát hạch được thông báo không đủ điều kiện đ</w:t>
      </w:r>
      <w:r>
        <w:t xml:space="preserve">ể </w:t>
      </w:r>
      <w:r>
        <w:rPr>
          <w:lang w:val="vi-VN"/>
        </w:rPr>
        <w:t>tiếp tục xét thăng hạng chức danh nghề nghiệp.</w:t>
      </w:r>
    </w:p>
    <w:p w:rsidR="00023D48" w:rsidRDefault="00023D48" w:rsidP="00023D48">
      <w:pPr>
        <w:spacing w:before="120" w:after="280" w:afterAutospacing="1"/>
        <w:jc w:val="both"/>
      </w:pPr>
      <w:r>
        <w:rPr>
          <w:lang w:val="vi-VN"/>
        </w:rPr>
        <w:t>4. Việc sát hạch được thực hiện thông qua các hình thức làm bài khảo sát hoặc phỏng vấn.</w:t>
      </w:r>
    </w:p>
    <w:p w:rsidR="00023D48" w:rsidRDefault="00023D48" w:rsidP="00023D48">
      <w:pPr>
        <w:spacing w:before="120" w:after="280" w:afterAutospacing="1"/>
        <w:jc w:val="both"/>
      </w:pPr>
      <w:r>
        <w:rPr>
          <w:lang w:val="vi-VN"/>
        </w:rPr>
        <w:t>a) Bài khảo sát được thực hiện thông qua làm bài viết hoặc trắc nghiệm; thời lượng làm bài khảo sát không quá 45 phút; nội dung khảo sát liên quan đến nhiệm vụ của nhà giáo quy định tại tiêu chuẩn hạng chức danh nghề nghiệp (theo từng hạng chức danh của m</w:t>
      </w:r>
      <w:r>
        <w:t>ỗ</w:t>
      </w:r>
      <w:r>
        <w:rPr>
          <w:lang w:val="vi-VN"/>
        </w:rPr>
        <w:t>i cấp học);</w:t>
      </w:r>
    </w:p>
    <w:p w:rsidR="00023D48" w:rsidRDefault="00023D48" w:rsidP="00023D48">
      <w:pPr>
        <w:spacing w:before="120" w:after="280" w:afterAutospacing="1"/>
        <w:jc w:val="both"/>
      </w:pPr>
      <w:r>
        <w:rPr>
          <w:lang w:val="vi-VN"/>
        </w:rPr>
        <w:t>b) Phỏng vấn: Việc phỏng vấn được thực hiện trực tiếp đối với từng người; thời lượng phỏng vấn 01 (một) người không quá 15 (mười lăm) phút; nội dung phỏng vấn liên quan đến nhiệm vụ của nhà giáo quy định tại tiêu chuẩn hạng chức danh nghề nghiệp giáo viên ở mỗi cấp học.</w:t>
      </w:r>
    </w:p>
    <w:p w:rsidR="00023D48" w:rsidRDefault="00023D48" w:rsidP="00023D48">
      <w:pPr>
        <w:spacing w:before="120" w:after="280" w:afterAutospacing="1"/>
        <w:jc w:val="both"/>
      </w:pPr>
      <w:bookmarkStart w:id="11" w:name="dieu_5"/>
      <w:r>
        <w:rPr>
          <w:b/>
          <w:bCs/>
          <w:lang w:val="vi-VN"/>
        </w:rPr>
        <w:t>Điều 5. Hồ sơ xét thăng hạng chức danh nghề nghiệp</w:t>
      </w:r>
      <w:bookmarkEnd w:id="11"/>
    </w:p>
    <w:p w:rsidR="00023D48" w:rsidRDefault="00023D48" w:rsidP="00023D48">
      <w:pPr>
        <w:spacing w:before="120" w:after="280" w:afterAutospacing="1"/>
        <w:jc w:val="both"/>
      </w:pPr>
      <w:r>
        <w:rPr>
          <w:lang w:val="vi-VN"/>
        </w:rPr>
        <w:t xml:space="preserve">1. Hồ sơ xét thăng hạng của giáo viên theo quy định tại </w:t>
      </w:r>
      <w:bookmarkStart w:id="12" w:name="dc_1"/>
      <w:r>
        <w:rPr>
          <w:lang w:val="vi-VN"/>
        </w:rPr>
        <w:t>Điều 10 Thông tư số 12/2012/TT-BNV</w:t>
      </w:r>
      <w:bookmarkEnd w:id="12"/>
      <w:r>
        <w:rPr>
          <w:lang w:val="vi-VN"/>
        </w:rPr>
        <w:t xml:space="preserve"> ngày 18 tháng 12 năm 2012 của Bộ Nội vụ quy định về chức danh nghề nghiệp và thay đ</w:t>
      </w:r>
      <w:r>
        <w:t>ổ</w:t>
      </w:r>
      <w:r>
        <w:rPr>
          <w:lang w:val="vi-VN"/>
        </w:rPr>
        <w:t>i chức danh nghề nghiệp đối với viên chức và các minh chứng theo tiêu chuẩn chức danh nghề nghiệp của hạng giáo viên, bao gồm các minh chứng về: nhiệm vụ; tiêu chuẩn về trình độ đào tạo, bồi dưỡng; tiêu chuẩn năng lực chuyên môn, nghiệp vụ và minh chứng về các trường hợp điểm cộng thêm quy định tại phụ lục của Thông tư này.</w:t>
      </w:r>
    </w:p>
    <w:p w:rsidR="00023D48" w:rsidRDefault="00023D48" w:rsidP="00023D48">
      <w:pPr>
        <w:spacing w:before="120" w:after="280" w:afterAutospacing="1"/>
        <w:jc w:val="both"/>
      </w:pPr>
      <w:r>
        <w:rPr>
          <w:lang w:val="vi-VN"/>
        </w:rPr>
        <w:t>2. Hồ sơ được nộp trực tiếp hoặc gửi qua đường bưu điện về cơ quan thường trực của hội đồng xét.</w:t>
      </w:r>
    </w:p>
    <w:p w:rsidR="00023D48" w:rsidRDefault="00023D48" w:rsidP="00023D48">
      <w:pPr>
        <w:spacing w:before="120" w:after="280" w:afterAutospacing="1"/>
        <w:jc w:val="both"/>
      </w:pPr>
      <w:bookmarkStart w:id="13" w:name="dieu_6"/>
      <w:r>
        <w:rPr>
          <w:b/>
          <w:bCs/>
          <w:lang w:val="vi-VN"/>
        </w:rPr>
        <w:t>Điều 6. Cách tính điểm hồ sơ xét thăng hạng</w:t>
      </w:r>
      <w:bookmarkEnd w:id="13"/>
    </w:p>
    <w:p w:rsidR="00023D48" w:rsidRDefault="00023D48" w:rsidP="00023D48">
      <w:pPr>
        <w:spacing w:before="120" w:after="280" w:afterAutospacing="1"/>
        <w:jc w:val="both"/>
      </w:pPr>
      <w:r>
        <w:rPr>
          <w:lang w:val="vi-VN"/>
        </w:rPr>
        <w:t>1. Hồ sơ xét thăng hạng được chấm theo thang điểm 100. Tổng điểm của hồ sơ xét thăng hạng bao gồm điểm chấm hồ sơ và điểm tăng thêm. Không làm tròn số khi cộng điểm.</w:t>
      </w:r>
    </w:p>
    <w:p w:rsidR="00023D48" w:rsidRDefault="00023D48" w:rsidP="00023D48">
      <w:pPr>
        <w:spacing w:before="120" w:after="280" w:afterAutospacing="1"/>
        <w:jc w:val="both"/>
      </w:pPr>
      <w:r>
        <w:rPr>
          <w:lang w:val="vi-VN"/>
        </w:rPr>
        <w:t>2. Điểm hồ sơ là 100 điểm, cụ thể:</w:t>
      </w:r>
    </w:p>
    <w:p w:rsidR="00023D48" w:rsidRDefault="00023D48" w:rsidP="00023D48">
      <w:pPr>
        <w:spacing w:before="120" w:after="280" w:afterAutospacing="1"/>
        <w:jc w:val="both"/>
      </w:pPr>
      <w:r>
        <w:rPr>
          <w:lang w:val="vi-VN"/>
        </w:rPr>
        <w:t>a) Nhóm tiêu chí đánh giá về khả năng thực hiện nhiệm vụ của giáo viên ở hạng đề nghị xét: 5,0 điểm;</w:t>
      </w:r>
    </w:p>
    <w:p w:rsidR="00023D48" w:rsidRDefault="00023D48" w:rsidP="00023D48">
      <w:pPr>
        <w:spacing w:before="120" w:after="280" w:afterAutospacing="1"/>
        <w:jc w:val="both"/>
      </w:pPr>
      <w:r>
        <w:rPr>
          <w:lang w:val="vi-VN"/>
        </w:rPr>
        <w:t>b) Nhóm tiêu chí về tiêu chuẩn trình độ đào tạo, bồi dưỡng: 20 điểm;</w:t>
      </w:r>
    </w:p>
    <w:p w:rsidR="00023D48" w:rsidRDefault="00023D48" w:rsidP="00023D48">
      <w:pPr>
        <w:spacing w:before="120" w:after="280" w:afterAutospacing="1"/>
        <w:jc w:val="both"/>
      </w:pPr>
      <w:r>
        <w:rPr>
          <w:lang w:val="vi-VN"/>
        </w:rPr>
        <w:t>c) Nhóm tiêu chí về tiêu chuẩn năng lực chuyên môn, nghiệp vụ: 75 điểm;</w:t>
      </w:r>
    </w:p>
    <w:p w:rsidR="00023D48" w:rsidRDefault="00023D48" w:rsidP="00023D48">
      <w:pPr>
        <w:spacing w:before="120" w:after="280" w:afterAutospacing="1"/>
        <w:jc w:val="both"/>
      </w:pPr>
      <w:r>
        <w:rPr>
          <w:lang w:val="vi-VN"/>
        </w:rPr>
        <w:lastRenderedPageBreak/>
        <w:t>d) Quy định điểm chi tiết của từng tiêu chí tại phụ lục kèm theo Thông tư này.</w:t>
      </w:r>
    </w:p>
    <w:p w:rsidR="00023D48" w:rsidRDefault="00023D48" w:rsidP="00023D48">
      <w:pPr>
        <w:spacing w:before="120" w:after="280" w:afterAutospacing="1"/>
        <w:jc w:val="both"/>
      </w:pPr>
      <w:r>
        <w:rPr>
          <w:lang w:val="vi-VN"/>
        </w:rPr>
        <w:t>3. Điểm tăng thêm:</w:t>
      </w:r>
    </w:p>
    <w:p w:rsidR="00023D48" w:rsidRDefault="00023D48" w:rsidP="00023D48">
      <w:pPr>
        <w:spacing w:before="120" w:after="280" w:afterAutospacing="1"/>
        <w:jc w:val="both"/>
      </w:pPr>
      <w:r>
        <w:rPr>
          <w:lang w:val="vi-VN"/>
        </w:rPr>
        <w:t xml:space="preserve">a) Điểm tăng thêm được thực hiện đối với những trường hợp sau: Có trình độ đào tạo, trình độ ngoại ngữ, tin học cao hơn so với quy định của hạng (tính vào </w:t>
      </w:r>
      <w:r>
        <w:t>điểm</w:t>
      </w:r>
      <w:r>
        <w:rPr>
          <w:lang w:val="vi-VN"/>
        </w:rPr>
        <w:t xml:space="preserve"> của nhóm tiêu chí thuộc điểm b khoản 2 Điều này); có thành tích được tặng bằng khen từ cấp tỉnh, Bộ trở lên; giấy chứng nhận chiến sĩ thi đua cấp cao hơn so với quy định của hạng; giáo viên có học sinh đoạt giải cấp tỉnh, cấp quốc gia trong cuộc thi do ngành Giáo dục tổ chức (không tính các cuộc thi do các cơ quan, đơn vị ngoài ngành Giáo dục tổ chức), giáo viên có học sinh trong đội tuy</w:t>
      </w:r>
      <w:r>
        <w:t>ể</w:t>
      </w:r>
      <w:r>
        <w:rPr>
          <w:lang w:val="vi-VN"/>
        </w:rPr>
        <w:t>n học sinh dự thi khoa học kỹ thuật, văn hóa, thể thao khu vực Đông Nam Á, Châu Á Thái Bình Dương, quốc tế và giáo viên có học sinh đoạt giải khoa học k</w:t>
      </w:r>
      <w:r>
        <w:t xml:space="preserve">ỹ </w:t>
      </w:r>
      <w:r>
        <w:rPr>
          <w:lang w:val="vi-VN"/>
        </w:rPr>
        <w:t>thuật, văn hóa, thể thao khu vực Đông Nam Á, Châu Á Thái Bình Dương, quốc tế (tính vào điểm của nhóm tiêu chí thuộc điểm c khoản 2 Điều này);</w:t>
      </w:r>
    </w:p>
    <w:p w:rsidR="00023D48" w:rsidRDefault="00023D48" w:rsidP="00023D48">
      <w:pPr>
        <w:spacing w:before="120" w:after="280" w:afterAutospacing="1"/>
        <w:jc w:val="both"/>
      </w:pPr>
      <w:r>
        <w:rPr>
          <w:lang w:val="vi-VN"/>
        </w:rPr>
        <w:t>b) Điểm tăng thêm tính cho mỗi minh chứng của tiêu chuẩn, tiêu chí do Hội đồng xét thăng hạng quy định nhưng không vượt quá 5,0 điểm. Đối với những tiêu chuẩn, tiêu chí có nhiều minh chứng để tính điểm tăng thêm thì chỉ tính điểm tăng thêm cho minh chứng có giá trị cao nhất.</w:t>
      </w:r>
    </w:p>
    <w:p w:rsidR="00023D48" w:rsidRDefault="00023D48" w:rsidP="00023D48">
      <w:pPr>
        <w:spacing w:before="120" w:after="280" w:afterAutospacing="1"/>
        <w:jc w:val="both"/>
      </w:pPr>
      <w:r>
        <w:rPr>
          <w:lang w:val="vi-VN"/>
        </w:rPr>
        <w:t>4. Đối với những trường hợp quy định tại Điều 9 và khoản 1 Điều 10 của thông tư này vẫn được tính điểm theo số điểm quy định của tiêu chuẩn, tiêu chí đó để bảo đảm tổng điểm hồ sơ là 100 điểm.</w:t>
      </w:r>
    </w:p>
    <w:p w:rsidR="00023D48" w:rsidRDefault="00023D48" w:rsidP="00023D48">
      <w:pPr>
        <w:spacing w:before="120" w:after="280" w:afterAutospacing="1"/>
        <w:jc w:val="both"/>
      </w:pPr>
      <w:bookmarkStart w:id="14" w:name="dieu_7"/>
      <w:r>
        <w:rPr>
          <w:b/>
          <w:bCs/>
          <w:lang w:val="vi-VN"/>
        </w:rPr>
        <w:t>Điều 7. Quy định về cách tính điểm sát hạch</w:t>
      </w:r>
      <w:bookmarkEnd w:id="14"/>
    </w:p>
    <w:p w:rsidR="00023D48" w:rsidRDefault="00023D48" w:rsidP="00023D48">
      <w:pPr>
        <w:spacing w:before="120" w:after="280" w:afterAutospacing="1"/>
        <w:jc w:val="both"/>
      </w:pPr>
      <w:r>
        <w:rPr>
          <w:lang w:val="vi-VN"/>
        </w:rPr>
        <w:t>1. Điểm sát hạch chấm theo thang điểm 20, không làm tròn số khi cộng điểm.</w:t>
      </w:r>
    </w:p>
    <w:p w:rsidR="00023D48" w:rsidRDefault="00023D48" w:rsidP="00023D48">
      <w:pPr>
        <w:spacing w:before="120" w:after="280" w:afterAutospacing="1"/>
        <w:jc w:val="both"/>
      </w:pPr>
      <w:r>
        <w:rPr>
          <w:lang w:val="vi-VN"/>
        </w:rPr>
        <w:t>2. Hội đồng xét quy định điểm cụ thể đối với mỗi câu hỏi ở nội dung khảo sát hoặc phỏng vấn.</w:t>
      </w:r>
    </w:p>
    <w:p w:rsidR="00023D48" w:rsidRDefault="00023D48" w:rsidP="00023D48">
      <w:pPr>
        <w:spacing w:before="120" w:after="280" w:afterAutospacing="1"/>
        <w:jc w:val="both"/>
      </w:pPr>
      <w:bookmarkStart w:id="15" w:name="dieu_8"/>
      <w:r>
        <w:rPr>
          <w:b/>
          <w:bCs/>
          <w:lang w:val="vi-VN"/>
        </w:rPr>
        <w:t>Điều 8. Xác định người được thăng hạng chức danh nghề nghiệp và thông báo kết quả</w:t>
      </w:r>
      <w:bookmarkEnd w:id="15"/>
    </w:p>
    <w:p w:rsidR="00023D48" w:rsidRDefault="00023D48" w:rsidP="00023D48">
      <w:pPr>
        <w:spacing w:before="120" w:after="280" w:afterAutospacing="1"/>
        <w:jc w:val="both"/>
      </w:pPr>
      <w:r>
        <w:rPr>
          <w:lang w:val="vi-VN"/>
        </w:rPr>
        <w:t>1. Người được thăng hạng chức danh nghề nghiệp trong kỳ xét thăng hạng phải có đủ các điều kiện sau đây:</w:t>
      </w:r>
    </w:p>
    <w:p w:rsidR="00023D48" w:rsidRDefault="00023D48" w:rsidP="00023D48">
      <w:pPr>
        <w:spacing w:before="120" w:after="280" w:afterAutospacing="1"/>
        <w:jc w:val="both"/>
      </w:pPr>
      <w:r>
        <w:rPr>
          <w:lang w:val="vi-VN"/>
        </w:rPr>
        <w:t>a) Có đủ hồ sơ kèm theo các minh chứng theo quy định;</w:t>
      </w:r>
    </w:p>
    <w:p w:rsidR="00023D48" w:rsidRDefault="00023D48" w:rsidP="00023D48">
      <w:pPr>
        <w:spacing w:before="120" w:after="280" w:afterAutospacing="1"/>
        <w:jc w:val="both"/>
      </w:pPr>
      <w:r>
        <w:rPr>
          <w:lang w:val="vi-VN"/>
        </w:rPr>
        <w:t>b) Đối với trường hợp xét hồ sơ: Kết quả được xét bằng điểm chấm hồ sơ phải đạt 100 điểm trở lên. Trong đó, điểm của mỗi nhóm tiêu chí phải đạt t</w:t>
      </w:r>
      <w:r>
        <w:t>ố</w:t>
      </w:r>
      <w:r>
        <w:rPr>
          <w:lang w:val="vi-VN"/>
        </w:rPr>
        <w:t>i thiểu theo quy định tại điểm a, điểm b, điểm c khoản 2 Điều 6 của Thông tư này.</w:t>
      </w:r>
    </w:p>
    <w:p w:rsidR="00023D48" w:rsidRDefault="00023D48" w:rsidP="00023D48">
      <w:pPr>
        <w:spacing w:before="120" w:after="280" w:afterAutospacing="1"/>
        <w:jc w:val="both"/>
      </w:pPr>
      <w:r>
        <w:rPr>
          <w:lang w:val="vi-VN"/>
        </w:rPr>
        <w:lastRenderedPageBreak/>
        <w:t>Đối với trường hợp xét hồ sơ và sát hạch: Kết quả được xét b</w:t>
      </w:r>
      <w:r>
        <w:t>ằ</w:t>
      </w:r>
      <w:r>
        <w:rPr>
          <w:lang w:val="vi-VN"/>
        </w:rPr>
        <w:t>ng điểm chấm hồ sơ 100 điểm trở lên (trong đó, điểm của m</w:t>
      </w:r>
      <w:r>
        <w:t>ỗ</w:t>
      </w:r>
      <w:r>
        <w:rPr>
          <w:lang w:val="vi-VN"/>
        </w:rPr>
        <w:t>i nhóm tiêu chí phải đạt t</w:t>
      </w:r>
      <w:r>
        <w:t>ố</w:t>
      </w:r>
      <w:r>
        <w:rPr>
          <w:lang w:val="vi-VN"/>
        </w:rPr>
        <w:t>i thiểu theo quy định tại điểm a, điểm b, điểm c khoản 2 Điều 6 của Thông tư này) và điểm sát hạch phải đạt tối thiểu 10 điểm.</w:t>
      </w:r>
    </w:p>
    <w:p w:rsidR="00023D48" w:rsidRDefault="00023D48" w:rsidP="00023D48">
      <w:pPr>
        <w:spacing w:before="120" w:after="280" w:afterAutospacing="1"/>
        <w:jc w:val="both"/>
      </w:pPr>
      <w:r>
        <w:rPr>
          <w:lang w:val="vi-VN"/>
        </w:rPr>
        <w:t>2. Kết quả xét thăng hạng chức danh nghề nghiệp giáo viên mầm non, phổ thông, dự bị đại học được thông báo tới cá nhân, đơn vị tham dự kỳ xét chậm nhất sau 15 ngày làm việc, tính từ thời điểm hoàn thành kỳ xét thăng hạng.</w:t>
      </w:r>
    </w:p>
    <w:p w:rsidR="00023D48" w:rsidRDefault="00023D48" w:rsidP="00023D48">
      <w:pPr>
        <w:spacing w:before="120" w:after="280" w:afterAutospacing="1"/>
        <w:jc w:val="both"/>
      </w:pPr>
      <w:r>
        <w:rPr>
          <w:lang w:val="vi-VN"/>
        </w:rPr>
        <w:t>3. Giáo viên không được thăng hạng trong kỳ xét thăng hạng chức danh nghề nghiệp theo quy định tại khoản 1, khoản 2 Điều này không được bảo lưu kết quả cho kỳ xét thăng hạng lần sau.</w:t>
      </w:r>
    </w:p>
    <w:p w:rsidR="00023D48" w:rsidRDefault="00023D48" w:rsidP="00023D48">
      <w:pPr>
        <w:spacing w:before="120" w:after="280" w:afterAutospacing="1"/>
        <w:jc w:val="both"/>
      </w:pPr>
      <w:bookmarkStart w:id="16" w:name="dieu_9"/>
      <w:r>
        <w:rPr>
          <w:b/>
          <w:bCs/>
          <w:lang w:val="vi-VN"/>
        </w:rPr>
        <w:t>Điều 9. Trường hợp miễn xét trình độ ngoại ngữ và tin học trong kỳ xét thăng hạng chức danh nghề nghiệp giáo viên</w:t>
      </w:r>
      <w:bookmarkEnd w:id="16"/>
    </w:p>
    <w:p w:rsidR="00023D48" w:rsidRDefault="00023D48" w:rsidP="00023D48">
      <w:pPr>
        <w:spacing w:before="120" w:after="280" w:afterAutospacing="1"/>
        <w:jc w:val="both"/>
      </w:pPr>
      <w:r>
        <w:rPr>
          <w:lang w:val="vi-VN"/>
        </w:rPr>
        <w:t>1. Giáo viên tính đến ngày 31 tháng 12 của năm tổ chức xét thăng hạng, có tuổi đời từ đủ 55 tuổi trở lên đối với nam và từ đủ 50 tuổi trở lên đối với nữ thì được miễn xét trình độ ngoại ngữ, tin học theo quy định của hạng chức danh nghề nghiệp.</w:t>
      </w:r>
    </w:p>
    <w:p w:rsidR="00023D48" w:rsidRDefault="00023D48" w:rsidP="00023D48">
      <w:pPr>
        <w:spacing w:before="120" w:after="280" w:afterAutospacing="1"/>
        <w:jc w:val="both"/>
      </w:pPr>
      <w:r>
        <w:rPr>
          <w:lang w:val="vi-VN"/>
        </w:rPr>
        <w:t>2. Trong trường hợp giáo viên thuộc khoản 1 Điều này có trình độ ngoại ngữ, tin học cao hơn so với quy định về trình độ ngoại ngữ, tin học tối thiểu của hạng thì vẫn được xét để tính điểm tăng thêm.</w:t>
      </w:r>
    </w:p>
    <w:p w:rsidR="00445626" w:rsidRPr="00023D48" w:rsidRDefault="00445626" w:rsidP="00023D48">
      <w:pPr>
        <w:jc w:val="both"/>
      </w:pPr>
    </w:p>
    <w:sectPr w:rsidR="00445626" w:rsidRPr="00023D48">
      <w:headerReference w:type="default" r:id="rId4"/>
      <w:footerReference w:type="default" r:id="rId5"/>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CB" w:rsidRDefault="00023D48">
    <w:pPr>
      <w:pStyle w:val="Footer"/>
      <w:rPr>
        <w:rFonts w:ascii="Times New Roman" w:hAnsi="Times New Roman"/>
      </w:rPr>
    </w:pPr>
    <w:r>
      <w:rPr>
        <w:rFonts w:ascii="Times New Roman" w:hAnsi="Times New Roman"/>
        <w:b/>
        <w:color w:val="FF0000"/>
      </w:rPr>
      <w:t>T</w:t>
    </w:r>
    <w:r>
      <w:rPr>
        <w:rFonts w:ascii="Times New Roman" w:hAnsi="Times New Roman"/>
        <w:b/>
        <w:color w:val="FF0000"/>
      </w:rPr>
      <w:t>Ổ</w:t>
    </w:r>
    <w:r>
      <w:rPr>
        <w:rFonts w:ascii="Times New Roman" w:hAnsi="Times New Roman"/>
        <w:b/>
        <w:color w:val="FF0000"/>
      </w:rPr>
      <w:t>NG ĐÀI TƯ V</w:t>
    </w:r>
    <w:r>
      <w:rPr>
        <w:rFonts w:ascii="Times New Roman" w:hAnsi="Times New Roman"/>
        <w:b/>
        <w:color w:val="FF0000"/>
      </w:rPr>
      <w:t>Ấ</w:t>
    </w:r>
    <w:r>
      <w:rPr>
        <w:rFonts w:ascii="Times New Roman" w:hAnsi="Times New Roman"/>
        <w:b/>
        <w:color w:val="FF0000"/>
      </w:rPr>
      <w:t>N PHÁP LU</w:t>
    </w:r>
    <w:r>
      <w:rPr>
        <w:rFonts w:ascii="Times New Roman" w:hAnsi="Times New Roman"/>
        <w:b/>
        <w:color w:val="FF0000"/>
      </w:rPr>
      <w:t>Ậ</w:t>
    </w:r>
    <w:r>
      <w:rPr>
        <w:rFonts w:ascii="Times New Roman" w:hAnsi="Times New Roman"/>
        <w:b/>
        <w:color w:val="FF0000"/>
      </w:rPr>
      <w:t>T TR</w:t>
    </w:r>
    <w:r>
      <w:rPr>
        <w:rFonts w:ascii="Times New Roman" w:hAnsi="Times New Roman"/>
        <w:b/>
        <w:color w:val="FF0000"/>
      </w:rPr>
      <w:t>Ự</w:t>
    </w:r>
    <w:r>
      <w:rPr>
        <w:rFonts w:ascii="Times New Roman" w:hAnsi="Times New Roman"/>
        <w:b/>
        <w:color w:val="FF0000"/>
      </w:rPr>
      <w:t>C TUY</w:t>
    </w:r>
    <w:r>
      <w:rPr>
        <w:rFonts w:ascii="Times New Roman" w:hAnsi="Times New Roman"/>
        <w:b/>
        <w:color w:val="FF0000"/>
      </w:rPr>
      <w:t>Ế</w:t>
    </w:r>
    <w:r>
      <w:rPr>
        <w:rFonts w:ascii="Times New Roman" w:hAnsi="Times New Roman"/>
        <w:b/>
        <w:color w:val="FF0000"/>
      </w:rPr>
      <w:t>N 24/7: 1900.6568</w:t>
    </w:r>
  </w:p>
  <w:p w:rsidR="00F154CB" w:rsidRDefault="00023D48">
    <w:pPr>
      <w:pStyle w:val="Footer"/>
      <w:rPr>
        <w:rFonts w:ascii="Times New Roman"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Ind w:w="-318" w:type="dxa"/>
      <w:tblBorders>
        <w:bottom w:val="single" w:sz="4" w:space="0" w:color="auto"/>
      </w:tblBorders>
      <w:tblLayout w:type="fixed"/>
      <w:tblLook w:val="04A0" w:firstRow="1" w:lastRow="0" w:firstColumn="1" w:lastColumn="0" w:noHBand="0" w:noVBand="1"/>
    </w:tblPr>
    <w:tblGrid>
      <w:gridCol w:w="2412"/>
      <w:gridCol w:w="8358"/>
    </w:tblGrid>
    <w:tr w:rsidR="00F154CB">
      <w:trPr>
        <w:trHeight w:val="1208"/>
      </w:trPr>
      <w:tc>
        <w:tcPr>
          <w:tcW w:w="2412" w:type="dxa"/>
          <w:tcBorders>
            <w:top w:val="nil"/>
            <w:left w:val="nil"/>
            <w:bottom w:val="single" w:sz="4" w:space="0" w:color="auto"/>
            <w:right w:val="nil"/>
          </w:tcBorders>
          <w:vAlign w:val="center"/>
          <w:hideMark/>
        </w:tcPr>
        <w:p w:rsidR="00F154CB" w:rsidRDefault="00023D48">
          <w:pPr>
            <w:rPr>
              <w:b/>
              <w:sz w:val="20"/>
            </w:rPr>
          </w:pPr>
          <w:r>
            <w:rPr>
              <w:b/>
              <w:sz w:val="20"/>
            </w:rPr>
            <w:t xml:space="preserve">        </w:t>
          </w:r>
          <w:r>
            <w:rPr>
              <w:b/>
              <w:noProof/>
              <w:sz w:val="20"/>
            </w:rPr>
            <w:drawing>
              <wp:inline distT="0" distB="0" distL="0" distR="0" wp14:anchorId="4126331B" wp14:editId="71836D3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Pr>
              <w:b/>
              <w:sz w:val="20"/>
            </w:rPr>
            <w:t xml:space="preserve">                                                                                                                                                                                 </w:t>
          </w:r>
          <w:r>
            <w:rPr>
              <w:b/>
              <w:sz w:val="20"/>
            </w:rPr>
            <w:t xml:space="preserve">                                                                                                                                                                                                                                                                </w:t>
          </w:r>
          <w:r>
            <w:rPr>
              <w:b/>
              <w:sz w:val="20"/>
            </w:rPr>
            <w:t xml:space="preserve">                                             </w:t>
          </w:r>
        </w:p>
      </w:tc>
      <w:tc>
        <w:tcPr>
          <w:tcW w:w="8358" w:type="dxa"/>
          <w:tcBorders>
            <w:top w:val="nil"/>
            <w:left w:val="nil"/>
            <w:bottom w:val="single" w:sz="4" w:space="0" w:color="auto"/>
            <w:right w:val="nil"/>
          </w:tcBorders>
          <w:vAlign w:val="center"/>
          <w:hideMark/>
        </w:tcPr>
        <w:p w:rsidR="00F154CB" w:rsidRDefault="00023D48">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F154CB" w:rsidRDefault="00023D48">
          <w:pPr>
            <w:rPr>
              <w:sz w:val="20"/>
              <w:szCs w:val="20"/>
            </w:rPr>
          </w:pPr>
          <w:r>
            <w:rPr>
              <w:sz w:val="20"/>
              <w:szCs w:val="20"/>
            </w:rPr>
            <w:t>Phòng 2501, t</w:t>
          </w:r>
          <w:r>
            <w:rPr>
              <w:sz w:val="20"/>
              <w:szCs w:val="20"/>
            </w:rPr>
            <w:t>ấ</w:t>
          </w:r>
          <w:r>
            <w:rPr>
              <w:sz w:val="20"/>
              <w:szCs w:val="20"/>
            </w:rPr>
            <w:t>ng 25, Tháp B, tòa nhà Golden Land, S</w:t>
          </w:r>
          <w:r>
            <w:rPr>
              <w:sz w:val="20"/>
              <w:szCs w:val="20"/>
            </w:rPr>
            <w:t>ố</w:t>
          </w:r>
          <w:r>
            <w:rPr>
              <w:sz w:val="20"/>
              <w:szCs w:val="20"/>
            </w:rPr>
            <w:t xml:space="preserve"> 275 đư</w:t>
          </w:r>
          <w:r>
            <w:rPr>
              <w:sz w:val="20"/>
              <w:szCs w:val="20"/>
            </w:rPr>
            <w:t>ờ</w:t>
          </w:r>
          <w:r>
            <w:rPr>
              <w:sz w:val="20"/>
              <w:szCs w:val="20"/>
            </w:rPr>
            <w:t>ng Nguy</w:t>
          </w:r>
          <w:r>
            <w:rPr>
              <w:sz w:val="20"/>
              <w:szCs w:val="20"/>
            </w:rPr>
            <w:t>ễ</w:t>
          </w:r>
          <w:r>
            <w:rPr>
              <w:sz w:val="20"/>
              <w:szCs w:val="20"/>
            </w:rPr>
            <w:t>n Trãi, phư</w:t>
          </w:r>
          <w:r>
            <w:rPr>
              <w:sz w:val="20"/>
              <w:szCs w:val="20"/>
            </w:rPr>
            <w:t>ờ</w:t>
          </w:r>
          <w:r>
            <w:rPr>
              <w:sz w:val="20"/>
              <w:szCs w:val="20"/>
            </w:rPr>
            <w:t>ng Thanh Xuân Trung, qu</w:t>
          </w:r>
          <w:r>
            <w:rPr>
              <w:sz w:val="20"/>
              <w:szCs w:val="20"/>
            </w:rPr>
            <w:t>ậ</w:t>
          </w:r>
          <w:r>
            <w:rPr>
              <w:sz w:val="20"/>
              <w:szCs w:val="20"/>
            </w:rPr>
            <w:t>n Thanh Xuân, thành ph</w:t>
          </w:r>
          <w:r>
            <w:rPr>
              <w:sz w:val="20"/>
              <w:szCs w:val="20"/>
            </w:rPr>
            <w:t>ố</w:t>
          </w:r>
          <w:r>
            <w:rPr>
              <w:sz w:val="20"/>
              <w:szCs w:val="20"/>
            </w:rPr>
            <w:t xml:space="preserve"> Hà N</w:t>
          </w:r>
          <w:r>
            <w:rPr>
              <w:sz w:val="20"/>
              <w:szCs w:val="20"/>
            </w:rPr>
            <w:t>ộ</w:t>
          </w:r>
          <w:r>
            <w:rPr>
              <w:sz w:val="20"/>
              <w:szCs w:val="20"/>
            </w:rPr>
            <w:t>i</w:t>
          </w:r>
        </w:p>
        <w:p w:rsidR="00F154CB" w:rsidRDefault="00023D48">
          <w:pPr>
            <w:rPr>
              <w:sz w:val="20"/>
            </w:rPr>
          </w:pPr>
          <w:r>
            <w:rPr>
              <w:sz w:val="20"/>
            </w:rPr>
            <w:t xml:space="preserve">Tel:   </w:t>
          </w:r>
          <w:r>
            <w:rPr>
              <w:sz w:val="20"/>
            </w:rPr>
            <w:t>1900.6568        Fax: 02473.000.111</w:t>
          </w:r>
        </w:p>
        <w:p w:rsidR="00F154CB" w:rsidRDefault="00023D48">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F154CB" w:rsidRDefault="00023D48">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48"/>
    <w:rsid w:val="00023D48"/>
    <w:rsid w:val="0044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4E8EB-77D0-48B8-AA2D-0A808817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D48"/>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uiPriority w:val="99"/>
    <w:semiHidden/>
    <w:unhideWhenUsed/>
    <w:qFormat/>
    <w:rsid w:val="00023D48"/>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rsid w:val="00023D48"/>
    <w:rPr>
      <w:rFonts w:ascii="Calibri" w:eastAsia="Times New Roman" w:hAnsi="Calibri" w:cs="Times New Roman"/>
      <w:b/>
      <w:bCs/>
    </w:rPr>
  </w:style>
  <w:style w:type="character" w:styleId="Hyperlink">
    <w:name w:val="Hyperlink"/>
    <w:uiPriority w:val="99"/>
    <w:semiHidden/>
    <w:unhideWhenUsed/>
    <w:rsid w:val="00023D48"/>
    <w:rPr>
      <w:color w:val="0000FF"/>
      <w:u w:val="single"/>
    </w:rPr>
  </w:style>
  <w:style w:type="paragraph" w:styleId="Header">
    <w:name w:val="header"/>
    <w:basedOn w:val="Normal"/>
    <w:link w:val="HeaderChar"/>
    <w:uiPriority w:val="99"/>
    <w:unhideWhenUsed/>
    <w:rsid w:val="00023D48"/>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023D48"/>
    <w:rPr>
      <w:rFonts w:ascii="Calibri" w:eastAsia="Calibri" w:hAnsi="Calibri" w:cs="Times New Roman"/>
    </w:rPr>
  </w:style>
  <w:style w:type="paragraph" w:styleId="Footer">
    <w:name w:val="footer"/>
    <w:basedOn w:val="Normal"/>
    <w:link w:val="FooterChar"/>
    <w:uiPriority w:val="99"/>
    <w:unhideWhenUsed/>
    <w:rsid w:val="00023D48"/>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023D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9668</Characters>
  <Application>Microsoft Office Word</Application>
  <DocSecurity>0</DocSecurity>
  <Lines>80</Lines>
  <Paragraphs>22</Paragraphs>
  <ScaleCrop>false</ScaleCrop>
  <Company/>
  <LinksUpToDate>false</LinksUpToDate>
  <CharactersWithSpaces>11341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Lương Hoàng</dc:creator>
  <cp:keywords/>
  <dc:description/>
  <cp:lastModifiedBy>Lương Hoàng</cp:lastModifiedBy>
  <cp:revision>1</cp:revision>
  <dcterms:created xsi:type="dcterms:W3CDTF">2018-11-13T17:44:00Z</dcterms:created>
  <dcterms:modified xsi:type="dcterms:W3CDTF">2018-11-13T17:45:00Z</dcterms:modified>
</cp:coreProperties>
</file>