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F247F" w:rsidRPr="00DF247F" w:rsidTr="00DF247F">
        <w:trPr>
          <w:tblCellSpacing w:w="0" w:type="dxa"/>
        </w:trPr>
        <w:tc>
          <w:tcPr>
            <w:tcW w:w="3348" w:type="dxa"/>
            <w:shd w:val="clear" w:color="auto" w:fill="FFFFFF"/>
            <w:tcMar>
              <w:top w:w="0" w:type="dxa"/>
              <w:left w:w="108" w:type="dxa"/>
              <w:bottom w:w="0" w:type="dxa"/>
              <w:right w:w="108" w:type="dxa"/>
            </w:tcMar>
            <w:hideMark/>
          </w:tcPr>
          <w:p w:rsidR="00DF247F" w:rsidRPr="00DF247F" w:rsidRDefault="00DF247F" w:rsidP="00DF247F">
            <w:pPr>
              <w:spacing w:before="120" w:after="120" w:line="234" w:lineRule="atLeast"/>
              <w:jc w:val="center"/>
              <w:rPr>
                <w:rFonts w:eastAsia="Times New Roman"/>
                <w:color w:val="000000"/>
              </w:rPr>
            </w:pPr>
            <w:bookmarkStart w:id="0" w:name="_GoBack"/>
            <w:r w:rsidRPr="00DF247F">
              <w:rPr>
                <w:rFonts w:eastAsia="Times New Roman"/>
                <w:b/>
                <w:bCs/>
                <w:color w:val="000000"/>
                <w:lang w:val="vi-VN"/>
              </w:rPr>
              <w:t>ỦY BAN NHÂN DÂN</w:t>
            </w:r>
            <w:r w:rsidRPr="00DF247F">
              <w:rPr>
                <w:rFonts w:eastAsia="Times New Roman"/>
                <w:b/>
                <w:bCs/>
                <w:color w:val="000000"/>
                <w:lang w:val="vi-VN"/>
              </w:rPr>
              <w:br/>
              <w:t>THÀNH PHỐ HÀ NỘI</w:t>
            </w:r>
            <w:r w:rsidRPr="00DF247F">
              <w:rPr>
                <w:rFonts w:eastAsia="Times New Roman"/>
                <w:b/>
                <w:bCs/>
                <w:color w:val="000000"/>
                <w:lang w:val="vi-VN"/>
              </w:rPr>
              <w:br/>
              <w:t>-------</w:t>
            </w:r>
          </w:p>
        </w:tc>
        <w:tc>
          <w:tcPr>
            <w:tcW w:w="5508" w:type="dxa"/>
            <w:shd w:val="clear" w:color="auto" w:fill="FFFFFF"/>
            <w:tcMar>
              <w:top w:w="0" w:type="dxa"/>
              <w:left w:w="108" w:type="dxa"/>
              <w:bottom w:w="0" w:type="dxa"/>
              <w:right w:w="108" w:type="dxa"/>
            </w:tcMa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CỘNG HÒA XÃ HỘI CHỦ NGHĨA VIỆT NAM</w:t>
            </w:r>
            <w:r w:rsidRPr="00DF247F">
              <w:rPr>
                <w:rFonts w:eastAsia="Times New Roman"/>
                <w:b/>
                <w:bCs/>
                <w:color w:val="000000"/>
                <w:lang w:val="vi-VN"/>
              </w:rPr>
              <w:br/>
              <w:t>Độc lập - Tự do - Hạnh phúc</w:t>
            </w:r>
            <w:r w:rsidRPr="00DF247F">
              <w:rPr>
                <w:rFonts w:eastAsia="Times New Roman"/>
                <w:b/>
                <w:bCs/>
                <w:color w:val="000000"/>
                <w:lang w:val="vi-VN"/>
              </w:rPr>
              <w:br/>
              <w:t>---------------</w:t>
            </w:r>
          </w:p>
        </w:tc>
      </w:tr>
      <w:tr w:rsidR="00DF247F" w:rsidRPr="00DF247F" w:rsidTr="00DF247F">
        <w:trPr>
          <w:tblCellSpacing w:w="0" w:type="dxa"/>
        </w:trPr>
        <w:tc>
          <w:tcPr>
            <w:tcW w:w="3348" w:type="dxa"/>
            <w:shd w:val="clear" w:color="auto" w:fill="FFFFFF"/>
            <w:tcMar>
              <w:top w:w="0" w:type="dxa"/>
              <w:left w:w="108" w:type="dxa"/>
              <w:bottom w:w="0" w:type="dxa"/>
              <w:right w:w="108" w:type="dxa"/>
            </w:tcMa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Số: 3203/QĐ-UBND</w:t>
            </w:r>
          </w:p>
        </w:tc>
        <w:tc>
          <w:tcPr>
            <w:tcW w:w="5508" w:type="dxa"/>
            <w:shd w:val="clear" w:color="auto" w:fill="FFFFFF"/>
            <w:tcMar>
              <w:top w:w="0" w:type="dxa"/>
              <w:left w:w="108" w:type="dxa"/>
              <w:bottom w:w="0" w:type="dxa"/>
              <w:right w:w="108" w:type="dxa"/>
            </w:tcMar>
            <w:hideMark/>
          </w:tcPr>
          <w:p w:rsidR="00DF247F" w:rsidRPr="00DF247F" w:rsidRDefault="00DF247F" w:rsidP="00DF247F">
            <w:pPr>
              <w:spacing w:before="120" w:after="120" w:line="234" w:lineRule="atLeast"/>
              <w:jc w:val="right"/>
              <w:rPr>
                <w:rFonts w:eastAsia="Times New Roman"/>
                <w:color w:val="000000"/>
              </w:rPr>
            </w:pPr>
            <w:r w:rsidRPr="00DF247F">
              <w:rPr>
                <w:rFonts w:eastAsia="Times New Roman"/>
                <w:i/>
                <w:iCs/>
                <w:color w:val="000000"/>
                <w:lang w:val="vi-VN"/>
              </w:rPr>
              <w:t>Hà Nội, ngày 24 tháng 5 năm 2017</w:t>
            </w:r>
          </w:p>
        </w:tc>
      </w:tr>
    </w:tbl>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b/>
          <w:bCs/>
          <w:color w:val="000000"/>
          <w:lang w:val="vi-VN"/>
        </w:rPr>
        <w:t>QUYẾT ĐỊNH</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color w:val="000000"/>
          <w:lang w:val="vi-VN"/>
        </w:rPr>
        <w:t>VỀ VIỆC BAN HÀNH BẢNG GIÁ LÀM CĂN CỨ TÍNH LỆ PHÍ TRƯỚC BẠ ĐỐI VỚI NHÀ VÀ THUẾ THU NHẬP CÁ NHÂN ĐỐI VỚI VIỆC CHUYỂN NHƯỢNG NHÀ TRÊN ĐỊA BÀN THÀNH PHỐ HÀ NỘI</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b/>
          <w:bCs/>
          <w:color w:val="000000"/>
          <w:lang w:val="vi-VN"/>
        </w:rPr>
        <w:t>ỦY BAN NHÂN DÂN THÀNH PHỐ HÀ NỘI</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Căn cứ Luật Tổ chức chính quyền địa phương ngày 19/6/2015;</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Căn cứ Luật Thủ đô ngày 21/11/2012;</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Căn cứ Luật Đất đai ngày 29/11/2013;</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Căn cứ Luật Xây dựng ngày 18/6/2014;</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Căn cứ Luật Thuế thu nhập cá nhân năm ngày 21/11/2007 và Luật sửa đổi, bổ sung một số Điều của Luật Thuế thu nhập cá nhân ngày 22/11/2012;</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Căn cứ Nghị định số 140/2016/NĐ-CP ngày 10/10/2016 của Chính phủ về lệ phí trước bạ;</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Căn cứ Thông tư số 301/2016/TT-BTC ngày 15/11/2016 của Bộ Tài chính hướng dẫn về lệ phí trước bạ;</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Căn cứ Quyết định số 1161/QĐ-BXD ngày 15/10/2015 của Bộ Xây dựng về công bố suất vốn đầu tư xây dựng công trình và giá xây dựng tổng hợp bộ phận kết cấu công trình năm 2014;</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i/>
          <w:iCs/>
          <w:color w:val="000000"/>
          <w:lang w:val="vi-VN"/>
        </w:rPr>
        <w:t>Xét đề nghị của Liên ngành: Sở Tài chính, Sở Xây dựng, Cục Thuế thành phố Hà Nội tại Tờ trình số 2236/TTrLN: STC-SXD-CT ngày 14/4/2017,</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b/>
          <w:bCs/>
          <w:color w:val="000000"/>
          <w:lang w:val="vi-VN"/>
        </w:rPr>
        <w:t>QUYẾT ĐỊNH:</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b/>
          <w:bCs/>
          <w:color w:val="000000"/>
          <w:lang w:val="vi-VN"/>
        </w:rPr>
        <w:lastRenderedPageBreak/>
        <w:t>Điều 1.</w:t>
      </w:r>
      <w:r w:rsidRPr="00DF247F">
        <w:rPr>
          <w:rFonts w:eastAsia="Times New Roman"/>
          <w:color w:val="000000"/>
          <w:lang w:val="vi-VN"/>
        </w:rPr>
        <w:t> Ban hành kèm theo Quyết định này Bảng giá làm căn cứ tính lệ phí trước bạ đối với nhà và thuế thu nhập cá nhân đối với việc chuyển nhượng nhà trên địa bàn thành phố Hà Nội </w:t>
      </w:r>
      <w:r w:rsidRPr="00DF247F">
        <w:rPr>
          <w:rFonts w:eastAsia="Times New Roman"/>
          <w:i/>
          <w:iCs/>
          <w:color w:val="000000"/>
          <w:lang w:val="vi-VN"/>
        </w:rPr>
        <w:t>(Phụ lục số: 01, 02, 03, 04 kèm theo).</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b/>
          <w:bCs/>
          <w:color w:val="000000"/>
          <w:lang w:val="vi-VN"/>
        </w:rPr>
        <w:t>Điều 2.</w:t>
      </w:r>
      <w:r w:rsidRPr="00DF247F">
        <w:rPr>
          <w:rFonts w:eastAsia="Times New Roman"/>
          <w:color w:val="000000"/>
          <w:lang w:val="vi-VN"/>
        </w:rPr>
        <w:t> Quyết định này có hiệu lực từ ngày ký và thay thế Quyết định số 3384/QĐ-UBND ngày 21/7/2015 và Quyết định số 4974/QĐ-UBND ngày 02/10/2015 của UBND thành phố Hà Nội về việc ban hành Bảng giá, giá làm căn cứ tính lệ phí trước bạ đối với nhà và thuế thu nhập cá nhân đối với việc chuyển nhượng nhà trên địa bàn thành phố Hà Nội.</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Trong quá trình triển khai thực hiện, Cục Thuế thành phố Hà Nội có trách nhiệm tổng hợp các trường hợp phát sinh chưa có trong Bảng giá làm căn cứ tính lệ phí trước bạ đối với nhà và thuế thu nhập cá nhân đối với việc chuyển nhượng nhà trên địa bàn thành phố Hà Nội quy định tại Quyết định này gửi Sở Xây dựng để chủ trì, phối hợp các đơn vị liên quan báo cáo bổ sung đơn giá, trình UBND Thành phố xem xét, quyết định.</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b/>
          <w:bCs/>
          <w:color w:val="000000"/>
          <w:lang w:val="vi-VN"/>
        </w:rPr>
        <w:t>Điều 3.</w:t>
      </w:r>
      <w:r w:rsidRPr="00DF247F">
        <w:rPr>
          <w:rFonts w:eastAsia="Times New Roman"/>
          <w:color w:val="000000"/>
          <w:lang w:val="vi-VN"/>
        </w:rPr>
        <w:t> Chánh Văn phòng UBND Thành phố; Giám đốc các Sở: Tài chính, Xây dựng, Tài nguyên và Môi trường; Cục trưởng Cục thuế thành phố Hà Nội; Giám đốc Kho bạc Nhà nước thành phố Hà Nội; Chủ tịch UBND các quận, huyện, thị xã Sơn Tây và các tổ chức, cá nhân có liên quan chịu trách nhiệm thi hành Quyết định này./.</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F247F" w:rsidRPr="00DF247F" w:rsidTr="00DF247F">
        <w:trPr>
          <w:tblCellSpacing w:w="0" w:type="dxa"/>
        </w:trPr>
        <w:tc>
          <w:tcPr>
            <w:tcW w:w="4428" w:type="dxa"/>
            <w:shd w:val="clear" w:color="auto" w:fill="FFFFFF"/>
            <w:tcMar>
              <w:top w:w="0" w:type="dxa"/>
              <w:left w:w="108" w:type="dxa"/>
              <w:bottom w:w="0" w:type="dxa"/>
              <w:right w:w="108" w:type="dxa"/>
            </w:tcMa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w:t>
            </w:r>
          </w:p>
          <w:p w:rsidR="00DF247F" w:rsidRPr="00DF247F" w:rsidRDefault="00DF247F" w:rsidP="00DF247F">
            <w:pPr>
              <w:spacing w:before="120" w:after="120" w:line="234" w:lineRule="atLeast"/>
              <w:rPr>
                <w:rFonts w:eastAsia="Times New Roman"/>
                <w:color w:val="000000"/>
              </w:rPr>
            </w:pPr>
            <w:r w:rsidRPr="00DF247F">
              <w:rPr>
                <w:rFonts w:eastAsia="Times New Roman"/>
                <w:b/>
                <w:bCs/>
                <w:i/>
                <w:iCs/>
                <w:color w:val="000000"/>
                <w:lang w:val="vi-VN"/>
              </w:rPr>
              <w:t>Nơi nhận:</w:t>
            </w:r>
            <w:r w:rsidRPr="00DF247F">
              <w:rPr>
                <w:rFonts w:eastAsia="Times New Roman"/>
                <w:b/>
                <w:bCs/>
                <w:i/>
                <w:iCs/>
                <w:color w:val="000000"/>
                <w:lang w:val="vi-VN"/>
              </w:rPr>
              <w:br/>
            </w:r>
            <w:r w:rsidRPr="00DF247F">
              <w:rPr>
                <w:rFonts w:eastAsia="Times New Roman"/>
                <w:color w:val="000000"/>
                <w:lang w:val="vi-VN"/>
              </w:rPr>
              <w:t>- Như Điều 3;</w:t>
            </w:r>
            <w:r w:rsidRPr="00DF247F">
              <w:rPr>
                <w:rFonts w:eastAsia="Times New Roman"/>
                <w:color w:val="000000"/>
                <w:lang w:val="vi-VN"/>
              </w:rPr>
              <w:br/>
              <w:t>- Các Bộ: Tài chính, Xây dựng;</w:t>
            </w:r>
            <w:r w:rsidRPr="00DF247F">
              <w:rPr>
                <w:rFonts w:eastAsia="Times New Roman"/>
                <w:color w:val="000000"/>
                <w:lang w:val="vi-VN"/>
              </w:rPr>
              <w:br/>
              <w:t>- Thường trực: Thành ủy, HĐND TP;</w:t>
            </w:r>
            <w:r w:rsidRPr="00DF247F">
              <w:rPr>
                <w:rFonts w:eastAsia="Times New Roman"/>
                <w:color w:val="000000"/>
                <w:lang w:val="vi-VN"/>
              </w:rPr>
              <w:br/>
              <w:t>- Chủ tịch, các Phó Chủ tịch UBND TP;</w:t>
            </w:r>
            <w:r w:rsidRPr="00DF247F">
              <w:rPr>
                <w:rFonts w:eastAsia="Times New Roman"/>
                <w:color w:val="000000"/>
                <w:lang w:val="vi-VN"/>
              </w:rPr>
              <w:br/>
              <w:t>- VP UBND TP: Các PCVP, các phòng: KT, ĐT, TH,TKBT;</w:t>
            </w:r>
            <w:r w:rsidRPr="00DF247F">
              <w:rPr>
                <w:rFonts w:eastAsia="Times New Roman"/>
                <w:color w:val="000000"/>
                <w:lang w:val="vi-VN"/>
              </w:rPr>
              <w:br/>
              <w:t>- Cổng Giao tiếp điện tử Thành phố;</w:t>
            </w:r>
            <w:r w:rsidRPr="00DF247F">
              <w:rPr>
                <w:rFonts w:eastAsia="Times New Roman"/>
                <w:color w:val="000000"/>
                <w:lang w:val="vi-VN"/>
              </w:rPr>
              <w:br/>
              <w:t>- Trung tâm Tin học - Công báo;</w:t>
            </w:r>
            <w:r w:rsidRPr="00DF247F">
              <w:rPr>
                <w:rFonts w:eastAsia="Times New Roman"/>
                <w:color w:val="000000"/>
                <w:lang w:val="vi-VN"/>
              </w:rPr>
              <w:br/>
              <w:t>- Lưu: VT, KTg.</w:t>
            </w:r>
          </w:p>
        </w:tc>
        <w:tc>
          <w:tcPr>
            <w:tcW w:w="4428" w:type="dxa"/>
            <w:shd w:val="clear" w:color="auto" w:fill="FFFFFF"/>
            <w:tcMar>
              <w:top w:w="0" w:type="dxa"/>
              <w:left w:w="108" w:type="dxa"/>
              <w:bottom w:w="0" w:type="dxa"/>
              <w:right w:w="108" w:type="dxa"/>
            </w:tcMa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TM. ỦY BAN NHÂN DÂN</w:t>
            </w:r>
            <w:r w:rsidRPr="00DF247F">
              <w:rPr>
                <w:rFonts w:eastAsia="Times New Roman"/>
                <w:b/>
                <w:bCs/>
                <w:color w:val="000000"/>
                <w:lang w:val="vi-VN"/>
              </w:rPr>
              <w:br/>
              <w:t>KT. CHỦ TỊCH</w:t>
            </w:r>
            <w:r w:rsidRPr="00DF247F">
              <w:rPr>
                <w:rFonts w:eastAsia="Times New Roman"/>
                <w:b/>
                <w:bCs/>
                <w:color w:val="000000"/>
                <w:lang w:val="vi-VN"/>
              </w:rPr>
              <w:br/>
              <w:t>PHÓ CHỦ TỊCH</w:t>
            </w:r>
            <w:r w:rsidRPr="00DF247F">
              <w:rPr>
                <w:rFonts w:eastAsia="Times New Roman"/>
                <w:b/>
                <w:bCs/>
                <w:color w:val="000000"/>
                <w:lang w:val="vi-VN"/>
              </w:rPr>
              <w:br/>
            </w:r>
            <w:r w:rsidRPr="00DF247F">
              <w:rPr>
                <w:rFonts w:eastAsia="Times New Roman"/>
                <w:b/>
                <w:bCs/>
                <w:color w:val="000000"/>
                <w:lang w:val="vi-VN"/>
              </w:rPr>
              <w:br/>
            </w:r>
            <w:r w:rsidRPr="00DF247F">
              <w:rPr>
                <w:rFonts w:eastAsia="Times New Roman"/>
                <w:b/>
                <w:bCs/>
                <w:color w:val="000000"/>
                <w:lang w:val="vi-VN"/>
              </w:rPr>
              <w:br/>
            </w:r>
            <w:r w:rsidRPr="00DF247F">
              <w:rPr>
                <w:rFonts w:eastAsia="Times New Roman"/>
                <w:b/>
                <w:bCs/>
                <w:color w:val="000000"/>
                <w:lang w:val="vi-VN"/>
              </w:rPr>
              <w:br/>
            </w:r>
            <w:r w:rsidRPr="00DF247F">
              <w:rPr>
                <w:rFonts w:eastAsia="Times New Roman"/>
                <w:b/>
                <w:bCs/>
                <w:color w:val="000000"/>
                <w:lang w:val="vi-VN"/>
              </w:rPr>
              <w:br/>
              <w:t>Nguyễn Doãn Toản</w:t>
            </w:r>
          </w:p>
        </w:tc>
      </w:tr>
    </w:tbl>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w:t>
      </w:r>
    </w:p>
    <w:p w:rsidR="00DF247F" w:rsidRPr="00DF247F" w:rsidRDefault="00DF247F" w:rsidP="00DF247F">
      <w:pPr>
        <w:shd w:val="clear" w:color="auto" w:fill="FFFFFF"/>
        <w:spacing w:line="234" w:lineRule="atLeast"/>
        <w:jc w:val="center"/>
        <w:rPr>
          <w:rFonts w:eastAsia="Times New Roman"/>
          <w:color w:val="000000"/>
        </w:rPr>
      </w:pPr>
      <w:bookmarkStart w:id="1" w:name="loai_1"/>
      <w:r w:rsidRPr="00DF247F">
        <w:rPr>
          <w:rFonts w:eastAsia="Times New Roman"/>
          <w:b/>
          <w:bCs/>
          <w:color w:val="000000"/>
          <w:shd w:val="clear" w:color="auto" w:fill="FFFF96"/>
          <w:lang w:val="vi-VN"/>
        </w:rPr>
        <w:t>PHỤ LỤC 01</w:t>
      </w:r>
    </w:p>
    <w:p w:rsidR="00DF247F" w:rsidRPr="00DF247F" w:rsidRDefault="00DF247F" w:rsidP="00DF247F">
      <w:pPr>
        <w:shd w:val="clear" w:color="auto" w:fill="FFFFFF"/>
        <w:spacing w:line="234" w:lineRule="atLeast"/>
        <w:jc w:val="center"/>
        <w:rPr>
          <w:rFonts w:eastAsia="Times New Roman"/>
          <w:color w:val="000000"/>
        </w:rPr>
      </w:pPr>
      <w:r w:rsidRPr="00DF247F">
        <w:rPr>
          <w:rFonts w:eastAsia="Times New Roman"/>
          <w:color w:val="000000"/>
          <w:shd w:val="clear" w:color="auto" w:fill="FFFF96"/>
          <w:lang w:val="vi-VN"/>
        </w:rPr>
        <w:lastRenderedPageBreak/>
        <w:t>BẢNG GIÁ XÂY DỰNG MỚI NHÀ Ở</w:t>
      </w:r>
      <w:bookmarkEnd w:id="1"/>
      <w:r w:rsidRPr="00DF247F">
        <w:rPr>
          <w:rFonts w:eastAsia="Times New Roman"/>
          <w:color w:val="000000"/>
          <w:lang w:val="vi-VN"/>
        </w:rPr>
        <w:br/>
      </w:r>
      <w:r w:rsidRPr="00DF247F">
        <w:rPr>
          <w:rFonts w:eastAsia="Times New Roman"/>
          <w:i/>
          <w:iCs/>
          <w:color w:val="000000"/>
          <w:lang w:val="vi-VN"/>
        </w:rPr>
        <w:t>(Kèm theo Quyết định số 3203/QĐ-UBND ngày 24/5/2017 của UBND thành phố Hà Nội)</w:t>
      </w:r>
    </w:p>
    <w:p w:rsidR="00DF247F" w:rsidRPr="00DF247F" w:rsidRDefault="00DF247F" w:rsidP="00DF247F">
      <w:pPr>
        <w:shd w:val="clear" w:color="auto" w:fill="FFFFFF"/>
        <w:spacing w:before="120" w:after="120" w:line="234" w:lineRule="atLeast"/>
        <w:jc w:val="right"/>
        <w:rPr>
          <w:rFonts w:eastAsia="Times New Roman"/>
          <w:color w:val="000000"/>
        </w:rPr>
      </w:pPr>
      <w:r w:rsidRPr="00DF247F">
        <w:rPr>
          <w:rFonts w:eastAsia="Times New Roman"/>
          <w:i/>
          <w:iCs/>
          <w:color w:val="000000"/>
          <w:lang w:val="vi-VN"/>
        </w:rPr>
        <w:t>Đơn vị: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6"/>
        <w:gridCol w:w="5543"/>
        <w:gridCol w:w="2491"/>
      </w:tblGrid>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STT</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Tên công trình</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Giá 01 m</w:t>
            </w:r>
            <w:r w:rsidRPr="00DF247F">
              <w:rPr>
                <w:rFonts w:eastAsia="Times New Roman"/>
                <w:b/>
                <w:bCs/>
                <w:color w:val="000000"/>
                <w:vertAlign w:val="superscript"/>
                <w:lang w:val="vi-VN"/>
              </w:rPr>
              <w:t>2</w:t>
            </w:r>
            <w:r w:rsidRPr="00DF247F">
              <w:rPr>
                <w:rFonts w:eastAsia="Times New Roman"/>
                <w:b/>
                <w:bCs/>
                <w:color w:val="000000"/>
                <w:lang w:val="vi-VN"/>
              </w:rPr>
              <w:t> sàn xây dựng</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chung cư</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Số tầng ≤ 5</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6.766.000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5 &lt; số tầng ≤ 7</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8.733.000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7 &lt; số tầng ≤ 10</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8.896.000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10 &lt; số tầng ≤ 15</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9.314.000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15 &lt; số tầng ≤18</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9.946.000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6</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18 &lt; số tầng ≤ 20</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10.352.000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7</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20 &lt; số tầng ≤ 25</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11.609.000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25 &lt; số tầng</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12.192.000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II</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ở riêng lẻ</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1 tầng, tường bao xây gạch, mái tôn</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1.864.000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1 tầng, căn hộ khép kín, kết cấu tường gạch chịu lực, mái BTCT đổ tại chỗ</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4.902.000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từ 2 đến 3 tầng, kết cấu khung chịu lực BTCT; tường bao xây gạch; sàn, mái BTCT đổ tại chỗ</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7.448.000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xml:space="preserve">Nhà kiểu biệt thự từ 2 đến 3 tầng, kết cấu khung chịu lực </w:t>
            </w:r>
            <w:r w:rsidRPr="00DF247F">
              <w:rPr>
                <w:rFonts w:eastAsia="Times New Roman"/>
                <w:color w:val="000000"/>
                <w:lang w:val="vi-VN"/>
              </w:rPr>
              <w:lastRenderedPageBreak/>
              <w:t>BTCT; tường bao xây gạch; sàn, mái BTCT đổ tại chỗ</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lastRenderedPageBreak/>
              <w:t>9.388.000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lastRenderedPageBreak/>
              <w:t>5</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ở riêng lẻ cao từ 4 tầng trở lên, kết cấu khung chịu lực BTCT, tường bao xây gạch; sàn, mái BTCT đổ tại chỗ</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Theo giá xây dựng mới nhà ở quy định tại Mục I Phụ lục này</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III</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Công trình trụ sở cơ quan, văn phòng làm việc, trung tâm thương mại</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Số tầng ≤ 5</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7.923.000</w:t>
            </w:r>
          </w:p>
        </w:tc>
      </w:tr>
      <w:tr w:rsidR="00DF247F" w:rsidRPr="00DF247F" w:rsidTr="00DF247F">
        <w:trPr>
          <w:tblCellSpacing w:w="0" w:type="dxa"/>
        </w:trPr>
        <w:tc>
          <w:tcPr>
            <w:tcW w:w="616"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543"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5 &lt; Số tầng ≤ 7</w:t>
            </w:r>
          </w:p>
        </w:tc>
        <w:tc>
          <w:tcPr>
            <w:tcW w:w="2491"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8.753.000</w:t>
            </w:r>
          </w:p>
        </w:tc>
      </w:tr>
      <w:tr w:rsidR="00DF247F" w:rsidRPr="00DF247F" w:rsidTr="00DF247F">
        <w:trPr>
          <w:tblCellSpacing w:w="0" w:type="dxa"/>
        </w:trPr>
        <w:tc>
          <w:tcPr>
            <w:tcW w:w="616"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543"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7 &lt; Số tầng</w:t>
            </w:r>
          </w:p>
        </w:tc>
        <w:tc>
          <w:tcPr>
            <w:tcW w:w="249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10.261.000</w:t>
            </w:r>
          </w:p>
        </w:tc>
      </w:tr>
    </w:tbl>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b/>
          <w:bCs/>
          <w:color w:val="000000"/>
          <w:lang w:val="vi-VN"/>
        </w:rPr>
        <w:t>Ghi chú:</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Giá tối thiểu xây dựng mới tính cho 01 m</w:t>
      </w:r>
      <w:r w:rsidRPr="00DF247F">
        <w:rPr>
          <w:rFonts w:eastAsia="Times New Roman"/>
          <w:color w:val="000000"/>
          <w:vertAlign w:val="superscript"/>
          <w:lang w:val="vi-VN"/>
        </w:rPr>
        <w:t>2</w:t>
      </w:r>
      <w:r w:rsidRPr="00DF247F">
        <w:rPr>
          <w:rFonts w:eastAsia="Times New Roman"/>
          <w:color w:val="000000"/>
          <w:lang w:val="vi-VN"/>
        </w:rPr>
        <w:t> sàn căn hộ của từng căn hộ riêng lẻ áp dụng trong trường hợp chuyển nhượng, trước bạ căn hộ riêng lẻ trong nhà có nhiều căn hộ do nhiều hộ sử dụng được tính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52"/>
        <w:gridCol w:w="412"/>
        <w:gridCol w:w="5492"/>
      </w:tblGrid>
      <w:tr w:rsidR="00DF247F" w:rsidRPr="00DF247F" w:rsidTr="00DF247F">
        <w:trPr>
          <w:tblCellSpacing w:w="0" w:type="dxa"/>
        </w:trPr>
        <w:tc>
          <w:tcPr>
            <w:tcW w:w="2952" w:type="dxa"/>
            <w:vMerge w:val="restart"/>
            <w:shd w:val="clear" w:color="auto" w:fill="FFFFFF"/>
            <w:tcMar>
              <w:top w:w="0" w:type="dxa"/>
              <w:left w:w="108" w:type="dxa"/>
              <w:bottom w:w="0" w:type="dxa"/>
              <w:right w:w="108" w:type="dxa"/>
            </w:tcMar>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Giá 01 m</w:t>
            </w:r>
            <w:r w:rsidRPr="00DF247F">
              <w:rPr>
                <w:rFonts w:eastAsia="Times New Roman"/>
                <w:color w:val="000000"/>
                <w:vertAlign w:val="superscript"/>
                <w:lang w:val="vi-VN"/>
              </w:rPr>
              <w:t>2</w:t>
            </w:r>
            <w:r w:rsidRPr="00DF247F">
              <w:rPr>
                <w:rFonts w:eastAsia="Times New Roman"/>
                <w:color w:val="000000"/>
                <w:lang w:val="vi-VN"/>
              </w:rPr>
              <w:t> sàn căn hộ</w:t>
            </w:r>
          </w:p>
        </w:tc>
        <w:tc>
          <w:tcPr>
            <w:tcW w:w="412" w:type="dxa"/>
            <w:vMerge w:val="restart"/>
            <w:shd w:val="clear" w:color="auto" w:fill="FFFFFF"/>
            <w:tcMar>
              <w:top w:w="0" w:type="dxa"/>
              <w:left w:w="108" w:type="dxa"/>
              <w:bottom w:w="0" w:type="dxa"/>
              <w:right w:w="108" w:type="dxa"/>
            </w:tcMar>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w:t>
            </w:r>
          </w:p>
        </w:tc>
        <w:tc>
          <w:tcPr>
            <w:tcW w:w="5492" w:type="dxa"/>
            <w:shd w:val="clear" w:color="auto" w:fill="FFFFFF"/>
            <w:tcMar>
              <w:top w:w="0" w:type="dxa"/>
              <w:left w:w="108" w:type="dxa"/>
              <w:bottom w:w="0" w:type="dxa"/>
              <w:right w:w="108" w:type="dxa"/>
            </w:tcMar>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Giá 01 m</w:t>
            </w:r>
            <w:r w:rsidRPr="00DF247F">
              <w:rPr>
                <w:rFonts w:eastAsia="Times New Roman"/>
                <w:color w:val="000000"/>
                <w:vertAlign w:val="superscript"/>
                <w:lang w:val="vi-VN"/>
              </w:rPr>
              <w:t>2</w:t>
            </w:r>
            <w:r w:rsidRPr="00DF247F">
              <w:rPr>
                <w:rFonts w:eastAsia="Times New Roman"/>
                <w:color w:val="000000"/>
                <w:lang w:val="vi-VN"/>
              </w:rPr>
              <w:t> sàn xây dựng</w:t>
            </w:r>
          </w:p>
        </w:tc>
      </w:tr>
      <w:tr w:rsidR="00DF247F" w:rsidRPr="00DF247F" w:rsidTr="00DF247F">
        <w:trPr>
          <w:tblCellSpacing w:w="0" w:type="dxa"/>
        </w:trPr>
        <w:tc>
          <w:tcPr>
            <w:tcW w:w="0" w:type="auto"/>
            <w:vMerge/>
            <w:shd w:val="clear" w:color="auto" w:fill="FFFFFF"/>
            <w:vAlign w:val="center"/>
            <w:hideMark/>
          </w:tcPr>
          <w:p w:rsidR="00DF247F" w:rsidRPr="00DF247F" w:rsidRDefault="00DF247F" w:rsidP="00DF247F">
            <w:pPr>
              <w:rPr>
                <w:rFonts w:eastAsia="Times New Roman"/>
                <w:color w:val="000000"/>
              </w:rPr>
            </w:pPr>
          </w:p>
        </w:tc>
        <w:tc>
          <w:tcPr>
            <w:tcW w:w="0" w:type="auto"/>
            <w:vMerge/>
            <w:shd w:val="clear" w:color="auto" w:fill="FFFFFF"/>
            <w:vAlign w:val="center"/>
            <w:hideMark/>
          </w:tcPr>
          <w:p w:rsidR="00DF247F" w:rsidRPr="00DF247F" w:rsidRDefault="00DF247F" w:rsidP="00DF247F">
            <w:pPr>
              <w:rPr>
                <w:rFonts w:eastAsia="Times New Roman"/>
                <w:color w:val="000000"/>
              </w:rPr>
            </w:pPr>
          </w:p>
        </w:tc>
        <w:tc>
          <w:tcPr>
            <w:tcW w:w="5492" w:type="dxa"/>
            <w:shd w:val="clear" w:color="auto" w:fill="FFFFFF"/>
            <w:tcMar>
              <w:top w:w="0" w:type="dxa"/>
              <w:left w:w="108" w:type="dxa"/>
              <w:bottom w:w="0" w:type="dxa"/>
              <w:right w:w="108" w:type="dxa"/>
            </w:tcMar>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Hệ số của tổng diện tích sàn sử dụng riêng so với tổng diện tích sàn xây dựng của tòa nhà</w:t>
            </w:r>
          </w:p>
        </w:tc>
      </w:tr>
    </w:tbl>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Giá xây dựng mới đối với nhà xây thô có hoàn thiện mặt ngoài (chưa hoàn thiện bên trong) bằng 65% giá xây dựng nhà ở mới.</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Giá tính lệ phí trước bạ nhà vườn: Áp dụng giá tính lệ phí trước bạ của nhà kiểu biệt thự từ 2 đến 3 tầng, kết cấu khung chịu lực BTCT; tường bao xây gạch; sàn, mái BTCT đổ tại chỗ.</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rPr>
        <w:t> </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b/>
          <w:bCs/>
          <w:color w:val="000000"/>
          <w:lang w:val="vi-VN"/>
        </w:rPr>
        <w:t>PHỤ LỤC 02</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color w:val="000000"/>
          <w:lang w:val="vi-VN"/>
        </w:rPr>
        <w:t>BẢNG GIÁ XÂY DỰNG MỚI NHÀ XƯỞNG, KHO</w:t>
      </w:r>
      <w:r w:rsidRPr="00DF247F">
        <w:rPr>
          <w:rFonts w:eastAsia="Times New Roman"/>
          <w:color w:val="000000"/>
          <w:lang w:val="vi-VN"/>
        </w:rPr>
        <w:br/>
      </w:r>
      <w:r w:rsidRPr="00DF247F">
        <w:rPr>
          <w:rFonts w:eastAsia="Times New Roman"/>
          <w:i/>
          <w:iCs/>
          <w:color w:val="000000"/>
          <w:lang w:val="vi-VN"/>
        </w:rPr>
        <w:t>(Kèm theo Quyết định số 3203/QĐ-UBND ngày 24/5/2017 của UBND thành phố Hà Nội)</w:t>
      </w:r>
    </w:p>
    <w:p w:rsidR="00DF247F" w:rsidRPr="00DF247F" w:rsidRDefault="00DF247F" w:rsidP="00DF247F">
      <w:pPr>
        <w:shd w:val="clear" w:color="auto" w:fill="FFFFFF"/>
        <w:spacing w:before="120" w:after="120" w:line="234" w:lineRule="atLeast"/>
        <w:jc w:val="right"/>
        <w:rPr>
          <w:rFonts w:eastAsia="Times New Roman"/>
          <w:color w:val="000000"/>
        </w:rPr>
      </w:pPr>
      <w:r w:rsidRPr="00DF247F">
        <w:rPr>
          <w:rFonts w:eastAsia="Times New Roman"/>
          <w:i/>
          <w:iCs/>
          <w:color w:val="000000"/>
          <w:lang w:val="vi-VN"/>
        </w:rPr>
        <w:lastRenderedPageBreak/>
        <w:t>Đơn vị: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5"/>
        <w:gridCol w:w="5479"/>
        <w:gridCol w:w="2552"/>
        <w:gridCol w:w="144"/>
      </w:tblGrid>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STT</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Tên công trình</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Giá 01 m</w:t>
            </w:r>
            <w:r w:rsidRPr="00DF247F">
              <w:rPr>
                <w:rFonts w:eastAsia="Times New Roman"/>
                <w:b/>
                <w:bCs/>
                <w:color w:val="000000"/>
                <w:vertAlign w:val="superscript"/>
                <w:lang w:val="vi-VN"/>
              </w:rPr>
              <w:t>2</w:t>
            </w:r>
            <w:r w:rsidRPr="00DF247F">
              <w:rPr>
                <w:rFonts w:eastAsia="Times New Roman"/>
                <w:b/>
                <w:bCs/>
                <w:color w:val="000000"/>
                <w:lang w:val="vi-VN"/>
              </w:rPr>
              <w:t> sàn xây dựng</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A</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sản xuất</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1 tầng khẩu độ 12m, cao ≤ 6m, không có cầu trục</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Tường gạch thu hồi mái ngói</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1.735.000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Tường gạch thu hồi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1.735.000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Tường gạch, bổ trụ, kèo thép,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2.003.000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Tường gạch, mái bằng</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2.334.000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bê tông, kèo thép,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2.767.000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6</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bê tông,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2.984.000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7</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thép,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2.520.000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II</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1 tầng khẩu độ 15m, cao ≤ 9m, không có cầu trục</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bê tông kèo thép,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4.667.000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thép, tường bao che tôn,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4.399.000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thép,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4.099.000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bê tông, kèo thép liền nhịp,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4.068.000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thép liền nhịp,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3.996.000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lastRenderedPageBreak/>
              <w:t>III</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1 tầng khẩu độ 18m, có cầu trục 5 tấn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bê tông, kèo thép,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4.967.000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bê tông,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5.266.000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thép,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4.647.000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bê tông, kèo thép,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5.566.000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thép liền nhịp, tường bao che bằng tôn,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4.543.000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6</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bê tông, kèo thép liền nhịp,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4.884.000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IV</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1 tầng khẩu độ 24m, cao 9m, có cầu trục 10 tấn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bê tông, kèo thép, tường gạch, mái tôn</w:t>
            </w:r>
          </w:p>
        </w:tc>
        <w:tc>
          <w:tcPr>
            <w:tcW w:w="2552"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7.600.000</w:t>
            </w:r>
          </w:p>
        </w:tc>
        <w:tc>
          <w:tcPr>
            <w:tcW w:w="144" w:type="dxa"/>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479"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Cột kèo thép, tường gạch, mái tôn</w:t>
            </w: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7.899.000</w:t>
            </w:r>
          </w:p>
        </w:tc>
        <w:tc>
          <w:tcPr>
            <w:tcW w:w="144" w:type="dxa"/>
            <w:tcBorders>
              <w:top w:val="nil"/>
              <w:left w:val="nil"/>
              <w:bottom w:val="single" w:sz="8" w:space="0" w:color="000000"/>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rPr>
              <w:t> </w:t>
            </w:r>
          </w:p>
        </w:tc>
      </w:tr>
      <w:tr w:rsidR="00DF247F" w:rsidRPr="00DF247F" w:rsidTr="00DF247F">
        <w:trPr>
          <w:tblCellSpacing w:w="0" w:type="dxa"/>
        </w:trPr>
        <w:tc>
          <w:tcPr>
            <w:tcW w:w="605" w:type="dxa"/>
            <w:tcBorders>
              <w:top w:val="nil"/>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B</w:t>
            </w:r>
          </w:p>
        </w:tc>
        <w:tc>
          <w:tcPr>
            <w:tcW w:w="5479" w:type="dxa"/>
            <w:tcBorders>
              <w:top w:val="nil"/>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Kho chuyên dụng</w:t>
            </w:r>
          </w:p>
        </w:tc>
        <w:tc>
          <w:tcPr>
            <w:tcW w:w="2566" w:type="dxa"/>
            <w:gridSpan w:val="2"/>
            <w:tcBorders>
              <w:top w:val="nil"/>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Kho chuyên dụng loại nhỏ (sức chứa &lt; 500 tấn)</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Kho lương thực, khung thép, sàn gỗ hay bê tông, mái tôn</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4.017.000</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Kho lương thực xây cuốn gạch đá</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1.797.000</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Kho hóa chất xây gạch, mái bằng</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2.767.000</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Kho hóa chất xây gạch, mái ngói</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1.601.000</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II</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Kho chuyên dụng loại lớn (sức chứa ≥ 500 tấn)</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lastRenderedPageBreak/>
              <w:t>1</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Kho lương thực sức chứa 500 tấn</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2.788.000</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Kho lương thực sức chứa 1.500 tấn</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3.005.000</w:t>
            </w:r>
          </w:p>
        </w:tc>
      </w:tr>
      <w:tr w:rsidR="00DF247F" w:rsidRPr="00DF247F" w:rsidTr="00DF247F">
        <w:trPr>
          <w:tblCellSpacing w:w="0" w:type="dxa"/>
        </w:trPr>
        <w:tc>
          <w:tcPr>
            <w:tcW w:w="605"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4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Kho lương thực sức chứa 10.000 tấn</w:t>
            </w:r>
          </w:p>
        </w:tc>
        <w:tc>
          <w:tcPr>
            <w:tcW w:w="2566" w:type="dxa"/>
            <w:gridSpan w:val="2"/>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3.686.000</w:t>
            </w:r>
          </w:p>
        </w:tc>
      </w:tr>
      <w:tr w:rsidR="00DF247F" w:rsidRPr="00DF247F" w:rsidTr="00DF247F">
        <w:trPr>
          <w:tblCellSpacing w:w="0" w:type="dxa"/>
        </w:trPr>
        <w:tc>
          <w:tcPr>
            <w:tcW w:w="605"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w:t>
            </w:r>
          </w:p>
        </w:tc>
        <w:tc>
          <w:tcPr>
            <w:tcW w:w="5479"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Kho muối sức chứa 1.000 - 3.000 tấn</w:t>
            </w:r>
          </w:p>
        </w:tc>
        <w:tc>
          <w:tcPr>
            <w:tcW w:w="2566"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2.354.000</w:t>
            </w:r>
          </w:p>
        </w:tc>
      </w:tr>
    </w:tbl>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b/>
          <w:bCs/>
          <w:color w:val="000000"/>
        </w:rPr>
        <w:t> </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b/>
          <w:bCs/>
          <w:color w:val="000000"/>
          <w:lang w:val="vi-VN"/>
        </w:rPr>
        <w:t>PHỤ LỤC 03</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color w:val="000000"/>
          <w:lang w:val="vi-VN"/>
        </w:rPr>
        <w:t>BẢNG GIÁ XÂY DỰNG MỚI NHÀ TẠM, VẬT KIẾN TRÚC</w:t>
      </w:r>
      <w:r w:rsidRPr="00DF247F">
        <w:rPr>
          <w:rFonts w:eastAsia="Times New Roman"/>
          <w:color w:val="000000"/>
          <w:lang w:val="vi-VN"/>
        </w:rPr>
        <w:br/>
      </w:r>
      <w:r w:rsidRPr="00DF247F">
        <w:rPr>
          <w:rFonts w:eastAsia="Times New Roman"/>
          <w:i/>
          <w:iCs/>
          <w:color w:val="000000"/>
          <w:lang w:val="vi-VN"/>
        </w:rPr>
        <w:t>(Kèm theo Quyết định số 3203/QĐ-UBND ngày 24/5/2017 của UBND thành phố Hà Nội)</w:t>
      </w:r>
    </w:p>
    <w:p w:rsidR="00DF247F" w:rsidRPr="00DF247F" w:rsidRDefault="00DF247F" w:rsidP="00DF247F">
      <w:pPr>
        <w:shd w:val="clear" w:color="auto" w:fill="FFFFFF"/>
        <w:spacing w:before="120" w:after="120" w:line="234" w:lineRule="atLeast"/>
        <w:jc w:val="right"/>
        <w:rPr>
          <w:rFonts w:eastAsia="Times New Roman"/>
          <w:color w:val="000000"/>
        </w:rPr>
      </w:pPr>
      <w:r w:rsidRPr="00DF247F">
        <w:rPr>
          <w:rFonts w:eastAsia="Times New Roman"/>
          <w:i/>
          <w:iCs/>
          <w:color w:val="000000"/>
          <w:lang w:val="vi-VN"/>
        </w:rPr>
        <w:t>Đơn vị: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24"/>
        <w:gridCol w:w="5529"/>
        <w:gridCol w:w="2497"/>
      </w:tblGrid>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STT</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Tên công trình</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Giá 01 m</w:t>
            </w:r>
            <w:r w:rsidRPr="00DF247F">
              <w:rPr>
                <w:rFonts w:eastAsia="Times New Roman"/>
                <w:b/>
                <w:bCs/>
                <w:color w:val="000000"/>
                <w:vertAlign w:val="superscript"/>
                <w:lang w:val="vi-VN"/>
              </w:rPr>
              <w:t>2</w:t>
            </w:r>
            <w:r w:rsidRPr="00DF247F">
              <w:rPr>
                <w:rFonts w:eastAsia="Times New Roman"/>
                <w:b/>
                <w:bCs/>
                <w:color w:val="000000"/>
                <w:lang w:val="vi-VN"/>
              </w:rPr>
              <w:t> sàn xây dựng</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tạm</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Tường xây gạch 220, cao ≤ 3m (không tính chiều cao tường thu hồi) nền lát gạch xi măng, gạch chỉ hoặc láng xi măng có đánh màu</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2.155.000</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Tường xây gạch 110, cao ≤ 3m (không tính chiều cao tường thu hồi) nền lát gạch xi măng, gạch chỉ hoặc láng xi măng có đánh màu</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a</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có khu phụ, mái ngói, </w:t>
            </w:r>
            <w:r w:rsidRPr="00DF247F">
              <w:rPr>
                <w:rFonts w:eastAsia="Times New Roman"/>
                <w:color w:val="000000"/>
              </w:rPr>
              <w:t>f</w:t>
            </w:r>
            <w:r w:rsidRPr="00DF247F">
              <w:rPr>
                <w:rFonts w:eastAsia="Times New Roman"/>
                <w:color w:val="000000"/>
                <w:lang w:val="vi-VN"/>
              </w:rPr>
              <w:t>ibrôximăng hoặc tôn, n</w:t>
            </w:r>
            <w:r w:rsidRPr="00DF247F">
              <w:rPr>
                <w:rFonts w:eastAsia="Times New Roman"/>
                <w:color w:val="000000"/>
              </w:rPr>
              <w:t>ề</w:t>
            </w:r>
            <w:r w:rsidRPr="00DF247F">
              <w:rPr>
                <w:rFonts w:eastAsia="Times New Roman"/>
                <w:color w:val="000000"/>
                <w:lang w:val="vi-VN"/>
              </w:rPr>
              <w:t>n lát gạch xi măng</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1.713.568</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b</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không có khu phụ, mái ngói, fibrôximăng hoặc tôn, nền lát gạch xi măng</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1.405.759</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c</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xml:space="preserve">Nhà không có khu phụ, mái ngói, fibrôximăng hoặc tôn, </w:t>
            </w:r>
            <w:r w:rsidRPr="00DF247F">
              <w:rPr>
                <w:rFonts w:eastAsia="Times New Roman"/>
                <w:color w:val="000000"/>
                <w:lang w:val="vi-VN"/>
              </w:rPr>
              <w:lastRenderedPageBreak/>
              <w:t>nền láng xi măng</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lastRenderedPageBreak/>
              <w:t>1.365.203</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lastRenderedPageBreak/>
              <w:t>d</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không có khu phụ, mái giấy dầu, nền láng xi măng</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1.045.920</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tạm vách cót, mái giấy dầu hoặc mái lá</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471.000</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II</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bán mái</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bán mái tường xây gạch 220 cao ≤ 3m (không tính chiều cao tường thu hồi) mái ngói, fibrôximăng hoặc tôn</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1.339.673</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bán mái tường xây gạch 110 cao ≤ 3m (không tính chiều cao tường thu hồi)</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a</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Mái ngói, fibrôximăng hoặc tôn</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1.258.519</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b</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Mái giấy dầu</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1.077.423</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III</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b/>
                <w:bCs/>
                <w:color w:val="000000"/>
                <w:lang w:val="vi-VN"/>
              </w:rPr>
              <w:t>Nhà sàn</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 </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Gỗ tứ thiết đường kính cột ≥ 30 cm</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1.661.000</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Gỗ tứ thiết đường kính cột &lt; 30 cm</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1.416.000</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Gỗ hồng sắc (Hoặc cột bê tông) đường kính cột ≥ 30 cm</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1.301.000</w:t>
            </w:r>
          </w:p>
        </w:tc>
      </w:tr>
      <w:tr w:rsidR="00DF247F" w:rsidRPr="00DF247F" w:rsidTr="00DF247F">
        <w:trPr>
          <w:tblCellSpacing w:w="0" w:type="dxa"/>
        </w:trPr>
        <w:tc>
          <w:tcPr>
            <w:tcW w:w="624"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w:t>
            </w:r>
          </w:p>
        </w:tc>
        <w:tc>
          <w:tcPr>
            <w:tcW w:w="552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Gỗ hồng sắc (Hoặc cột bê tông) đường kính cột &lt; 30 cm</w:t>
            </w:r>
          </w:p>
        </w:tc>
        <w:tc>
          <w:tcPr>
            <w:tcW w:w="2497"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1.185.000</w:t>
            </w:r>
          </w:p>
        </w:tc>
      </w:tr>
      <w:tr w:rsidR="00DF247F" w:rsidRPr="00DF247F" w:rsidTr="00DF247F">
        <w:trPr>
          <w:tblCellSpacing w:w="0" w:type="dxa"/>
        </w:trPr>
        <w:tc>
          <w:tcPr>
            <w:tcW w:w="624"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w:t>
            </w:r>
          </w:p>
        </w:tc>
        <w:tc>
          <w:tcPr>
            <w:tcW w:w="5529"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Nhà sàn khung gỗ bạch đàn, sàn gỗ, lợp lá cọ</w:t>
            </w:r>
          </w:p>
        </w:tc>
        <w:tc>
          <w:tcPr>
            <w:tcW w:w="24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714.000</w:t>
            </w:r>
          </w:p>
        </w:tc>
      </w:tr>
    </w:tbl>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b/>
          <w:bCs/>
          <w:color w:val="000000"/>
          <w:lang w:val="vi-VN"/>
        </w:rPr>
        <w:t>Ghi chú:</w:t>
      </w:r>
      <w:r w:rsidRPr="00DF247F">
        <w:rPr>
          <w:rFonts w:eastAsia="Times New Roman"/>
          <w:color w:val="000000"/>
          <w:lang w:val="vi-VN"/>
        </w:rPr>
        <w:t> Giá xây dựng nhà tạm chưa bao gồm bể nước, bể phốt.</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rPr>
        <w:t> </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b/>
          <w:bCs/>
          <w:color w:val="000000"/>
          <w:lang w:val="vi-VN"/>
        </w:rPr>
        <w:t>PHỤ LỤC 04</w:t>
      </w:r>
    </w:p>
    <w:p w:rsidR="00DF247F" w:rsidRPr="00DF247F" w:rsidRDefault="00DF247F" w:rsidP="00DF247F">
      <w:pPr>
        <w:shd w:val="clear" w:color="auto" w:fill="FFFFFF"/>
        <w:spacing w:before="120" w:after="120" w:line="234" w:lineRule="atLeast"/>
        <w:jc w:val="center"/>
        <w:rPr>
          <w:rFonts w:eastAsia="Times New Roman"/>
          <w:color w:val="000000"/>
        </w:rPr>
      </w:pPr>
      <w:r w:rsidRPr="00DF247F">
        <w:rPr>
          <w:rFonts w:eastAsia="Times New Roman"/>
          <w:color w:val="000000"/>
          <w:lang w:val="vi-VN"/>
        </w:rPr>
        <w:lastRenderedPageBreak/>
        <w:t>BẢNG TỶ LỆ CHẤT LƯỢNG CÒN LẠI CỦA NHÀ</w:t>
      </w:r>
      <w:r w:rsidRPr="00DF247F">
        <w:rPr>
          <w:rFonts w:eastAsia="Times New Roman"/>
          <w:color w:val="000000"/>
          <w:lang w:val="vi-VN"/>
        </w:rPr>
        <w:br/>
      </w:r>
      <w:r w:rsidRPr="00DF247F">
        <w:rPr>
          <w:rFonts w:eastAsia="Times New Roman"/>
          <w:i/>
          <w:iCs/>
          <w:color w:val="000000"/>
          <w:lang w:val="vi-VN"/>
        </w:rPr>
        <w:t>(Kèm theo Quyết định số 3203/QĐ-UBND ngày 24/5/2017 của UBND thành phố Hà Nội)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21"/>
        <w:gridCol w:w="1138"/>
        <w:gridCol w:w="1169"/>
        <w:gridCol w:w="1179"/>
        <w:gridCol w:w="1137"/>
        <w:gridCol w:w="1206"/>
      </w:tblGrid>
      <w:tr w:rsidR="00DF247F" w:rsidRPr="00DF247F" w:rsidTr="00DF247F">
        <w:trPr>
          <w:tblCellSpacing w:w="0" w:type="dxa"/>
        </w:trPr>
        <w:tc>
          <w:tcPr>
            <w:tcW w:w="2821"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Thời gian đã sử dụng</w:t>
            </w:r>
          </w:p>
        </w:tc>
        <w:tc>
          <w:tcPr>
            <w:tcW w:w="1138"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Biệt thự (%)</w:t>
            </w:r>
          </w:p>
        </w:tc>
        <w:tc>
          <w:tcPr>
            <w:tcW w:w="116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Công trình cấp I(%)</w:t>
            </w:r>
          </w:p>
        </w:tc>
        <w:tc>
          <w:tcPr>
            <w:tcW w:w="11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Công trình cấp II (%)</w:t>
            </w:r>
          </w:p>
        </w:tc>
        <w:tc>
          <w:tcPr>
            <w:tcW w:w="1137"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Công trình cấp III (%)</w:t>
            </w:r>
          </w:p>
        </w:tc>
        <w:tc>
          <w:tcPr>
            <w:tcW w:w="1206"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b/>
                <w:bCs/>
                <w:color w:val="000000"/>
                <w:lang w:val="vi-VN"/>
              </w:rPr>
              <w:t>Công trình cấp IV (%)</w:t>
            </w:r>
          </w:p>
        </w:tc>
      </w:tr>
      <w:tr w:rsidR="00DF247F" w:rsidRPr="00DF247F" w:rsidTr="00DF247F">
        <w:trPr>
          <w:tblCellSpacing w:w="0" w:type="dxa"/>
        </w:trPr>
        <w:tc>
          <w:tcPr>
            <w:tcW w:w="2821"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Dưới 5 năm</w:t>
            </w:r>
          </w:p>
        </w:tc>
        <w:tc>
          <w:tcPr>
            <w:tcW w:w="1138"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95</w:t>
            </w:r>
          </w:p>
        </w:tc>
        <w:tc>
          <w:tcPr>
            <w:tcW w:w="116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90</w:t>
            </w:r>
          </w:p>
        </w:tc>
        <w:tc>
          <w:tcPr>
            <w:tcW w:w="11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90</w:t>
            </w:r>
          </w:p>
        </w:tc>
        <w:tc>
          <w:tcPr>
            <w:tcW w:w="1137"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80</w:t>
            </w:r>
          </w:p>
        </w:tc>
        <w:tc>
          <w:tcPr>
            <w:tcW w:w="1206"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80</w:t>
            </w:r>
          </w:p>
        </w:tc>
      </w:tr>
      <w:tr w:rsidR="00DF247F" w:rsidRPr="00DF247F" w:rsidTr="00DF247F">
        <w:trPr>
          <w:tblCellSpacing w:w="0" w:type="dxa"/>
        </w:trPr>
        <w:tc>
          <w:tcPr>
            <w:tcW w:w="2821"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Từ 5 đến 10 năm</w:t>
            </w:r>
          </w:p>
        </w:tc>
        <w:tc>
          <w:tcPr>
            <w:tcW w:w="1138"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85</w:t>
            </w:r>
          </w:p>
        </w:tc>
        <w:tc>
          <w:tcPr>
            <w:tcW w:w="116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80</w:t>
            </w:r>
          </w:p>
        </w:tc>
        <w:tc>
          <w:tcPr>
            <w:tcW w:w="11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80</w:t>
            </w:r>
          </w:p>
        </w:tc>
        <w:tc>
          <w:tcPr>
            <w:tcW w:w="1137"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65</w:t>
            </w:r>
          </w:p>
        </w:tc>
        <w:tc>
          <w:tcPr>
            <w:tcW w:w="1206"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65</w:t>
            </w:r>
          </w:p>
        </w:tc>
      </w:tr>
      <w:tr w:rsidR="00DF247F" w:rsidRPr="00DF247F" w:rsidTr="00DF247F">
        <w:trPr>
          <w:tblCellSpacing w:w="0" w:type="dxa"/>
        </w:trPr>
        <w:tc>
          <w:tcPr>
            <w:tcW w:w="2821"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Trên 10 năm đến 20 năm</w:t>
            </w:r>
          </w:p>
        </w:tc>
        <w:tc>
          <w:tcPr>
            <w:tcW w:w="1138"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70</w:t>
            </w:r>
          </w:p>
        </w:tc>
        <w:tc>
          <w:tcPr>
            <w:tcW w:w="116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60</w:t>
            </w:r>
          </w:p>
        </w:tc>
        <w:tc>
          <w:tcPr>
            <w:tcW w:w="11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55</w:t>
            </w:r>
          </w:p>
        </w:tc>
        <w:tc>
          <w:tcPr>
            <w:tcW w:w="1137"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35</w:t>
            </w:r>
          </w:p>
        </w:tc>
        <w:tc>
          <w:tcPr>
            <w:tcW w:w="1206"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35</w:t>
            </w:r>
          </w:p>
        </w:tc>
      </w:tr>
      <w:tr w:rsidR="00DF247F" w:rsidRPr="00DF247F" w:rsidTr="00DF247F">
        <w:trPr>
          <w:tblCellSpacing w:w="0" w:type="dxa"/>
        </w:trPr>
        <w:tc>
          <w:tcPr>
            <w:tcW w:w="2821"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Trên 20 năm đến 50 năm</w:t>
            </w:r>
          </w:p>
        </w:tc>
        <w:tc>
          <w:tcPr>
            <w:tcW w:w="1138"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50</w:t>
            </w:r>
          </w:p>
        </w:tc>
        <w:tc>
          <w:tcPr>
            <w:tcW w:w="116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40</w:t>
            </w:r>
          </w:p>
        </w:tc>
        <w:tc>
          <w:tcPr>
            <w:tcW w:w="1179"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35</w:t>
            </w:r>
          </w:p>
        </w:tc>
        <w:tc>
          <w:tcPr>
            <w:tcW w:w="1137" w:type="dxa"/>
            <w:tcBorders>
              <w:top w:val="single" w:sz="8" w:space="0" w:color="000000"/>
              <w:left w:val="single" w:sz="8" w:space="0" w:color="000000"/>
              <w:bottom w:val="nil"/>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25</w:t>
            </w:r>
          </w:p>
        </w:tc>
        <w:tc>
          <w:tcPr>
            <w:tcW w:w="1206" w:type="dxa"/>
            <w:tcBorders>
              <w:top w:val="single" w:sz="8" w:space="0" w:color="000000"/>
              <w:left w:val="single" w:sz="8" w:space="0" w:color="000000"/>
              <w:bottom w:val="nil"/>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25</w:t>
            </w:r>
          </w:p>
        </w:tc>
      </w:tr>
      <w:tr w:rsidR="00DF247F" w:rsidRPr="00DF247F" w:rsidTr="00DF247F">
        <w:trPr>
          <w:tblCellSpacing w:w="0" w:type="dxa"/>
        </w:trPr>
        <w:tc>
          <w:tcPr>
            <w:tcW w:w="2821"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rPr>
                <w:rFonts w:eastAsia="Times New Roman"/>
                <w:color w:val="000000"/>
              </w:rPr>
            </w:pPr>
            <w:r w:rsidRPr="00DF247F">
              <w:rPr>
                <w:rFonts w:eastAsia="Times New Roman"/>
                <w:color w:val="000000"/>
                <w:lang w:val="vi-VN"/>
              </w:rPr>
              <w:t>- Trên 50 năm</w:t>
            </w:r>
          </w:p>
        </w:tc>
        <w:tc>
          <w:tcPr>
            <w:tcW w:w="1138"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30</w:t>
            </w:r>
          </w:p>
        </w:tc>
        <w:tc>
          <w:tcPr>
            <w:tcW w:w="1169"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25</w:t>
            </w:r>
          </w:p>
        </w:tc>
        <w:tc>
          <w:tcPr>
            <w:tcW w:w="1179"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25</w:t>
            </w:r>
          </w:p>
        </w:tc>
        <w:tc>
          <w:tcPr>
            <w:tcW w:w="1137" w:type="dxa"/>
            <w:tcBorders>
              <w:top w:val="single" w:sz="8" w:space="0" w:color="000000"/>
              <w:left w:val="single" w:sz="8" w:space="0" w:color="000000"/>
              <w:bottom w:val="single" w:sz="8" w:space="0" w:color="000000"/>
              <w:right w:val="nil"/>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20</w:t>
            </w:r>
          </w:p>
        </w:tc>
        <w:tc>
          <w:tcPr>
            <w:tcW w:w="120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F247F" w:rsidRPr="00DF247F" w:rsidRDefault="00DF247F" w:rsidP="00DF247F">
            <w:pPr>
              <w:spacing w:before="120" w:after="120" w:line="234" w:lineRule="atLeast"/>
              <w:jc w:val="center"/>
              <w:rPr>
                <w:rFonts w:eastAsia="Times New Roman"/>
                <w:color w:val="000000"/>
              </w:rPr>
            </w:pPr>
            <w:r w:rsidRPr="00DF247F">
              <w:rPr>
                <w:rFonts w:eastAsia="Times New Roman"/>
                <w:color w:val="000000"/>
                <w:lang w:val="vi-VN"/>
              </w:rPr>
              <w:t>20</w:t>
            </w:r>
          </w:p>
        </w:tc>
      </w:tr>
    </w:tbl>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b/>
          <w:bCs/>
          <w:color w:val="000000"/>
          <w:lang w:val="vi-VN"/>
        </w:rPr>
        <w:t>Ghi chú:</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Kê khai lệ phí trước bạ lần đầu đối với nhà có thời gian đã sử dụng dưới 5 năm: 100%;</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Kê khai nộp lệ phí trước bạ lần đầu đối với nhà chịu lệ phí trước bạ có thời gian đã sử dụng từ 5 năm trở lên thì áp dụng tỷ lệ (%) chất lượng còn lại của nhà có thời gian đã sử dụng tương ứng theo Bảng tỷ lệ chất lượng còn lại của nhà.</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Kê khai lệ phí trước bạ từ lần thứ 2 trở đi: Thời gian đã sử dụng của nhà được tính từ thời điểm (năm) xây dựng hoàn thành bàn giao nhà (hoặc đưa vào sử dụng) đến năm kê khai, nộp lệ phí trước bạ nhà đó. Trường hợp hồ sơ không đủ căn cứ xác định được năm xây dựng nhà thì theo năm mua nhà hoặc nhận nhà.</w:t>
      </w:r>
    </w:p>
    <w:p w:rsidR="00DF247F" w:rsidRPr="00DF247F" w:rsidRDefault="00DF247F" w:rsidP="00DF247F">
      <w:pPr>
        <w:shd w:val="clear" w:color="auto" w:fill="FFFFFF"/>
        <w:spacing w:before="120" w:after="120" w:line="234" w:lineRule="atLeast"/>
        <w:rPr>
          <w:rFonts w:eastAsia="Times New Roman"/>
          <w:color w:val="000000"/>
        </w:rPr>
      </w:pPr>
      <w:r w:rsidRPr="00DF247F">
        <w:rPr>
          <w:rFonts w:eastAsia="Times New Roman"/>
          <w:color w:val="000000"/>
          <w:lang w:val="vi-VN"/>
        </w:rPr>
        <w:t>- Quy định về loại, cấp công trình: Quy định tại Mục 2.1.1, Bảng 2, Phụ lục 2 ban hành kèm theo Thông tư số 03/2016/TT-BXD ngày 10/3/2016 của Bộ Xây dựng.</w:t>
      </w:r>
    </w:p>
    <w:bookmarkEnd w:id="0"/>
    <w:p w:rsidR="00C04DA8" w:rsidRPr="00DF247F" w:rsidRDefault="0077602F" w:rsidP="00DF247F"/>
    <w:sectPr w:rsidR="00C04DA8" w:rsidRPr="00DF24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02F" w:rsidRDefault="0077602F" w:rsidP="0033339E">
      <w:r>
        <w:separator/>
      </w:r>
    </w:p>
  </w:endnote>
  <w:endnote w:type="continuationSeparator" w:id="0">
    <w:p w:rsidR="0077602F" w:rsidRDefault="0077602F"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1D" w:rsidRDefault="00F550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1D" w:rsidRDefault="00F550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02F" w:rsidRDefault="0077602F" w:rsidP="0033339E">
      <w:r>
        <w:separator/>
      </w:r>
    </w:p>
  </w:footnote>
  <w:footnote w:type="continuationSeparator" w:id="0">
    <w:p w:rsidR="0077602F" w:rsidRDefault="0077602F" w:rsidP="00333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1D" w:rsidRDefault="00F550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F5501D" w:rsidRDefault="00F5501D" w:rsidP="00F5501D">
          <w:pPr>
            <w:pStyle w:val="Heading6"/>
            <w:spacing w:before="0"/>
            <w:rPr>
              <w:sz w:val="20"/>
            </w:rPr>
          </w:pPr>
          <w:r>
            <w:rPr>
              <w:sz w:val="20"/>
            </w:rPr>
            <w:t xml:space="preserve">CÔNG TY LUẬT TNHH DƯƠNG GIA – DUONG GIA LAW COMPANY LIMITED </w:t>
          </w:r>
        </w:p>
        <w:p w:rsidR="00F5501D" w:rsidRDefault="00F5501D" w:rsidP="00F5501D">
          <w:pPr>
            <w:rPr>
              <w:sz w:val="20"/>
            </w:rPr>
          </w:pPr>
          <w:r>
            <w:rPr>
              <w:sz w:val="20"/>
            </w:rPr>
            <w:t>89 To Vinh Dien Street, Thanh Xuan District, Hanoi City, Viet Nam</w:t>
          </w:r>
        </w:p>
        <w:p w:rsidR="00F5501D" w:rsidRDefault="00F5501D" w:rsidP="00F5501D">
          <w:pPr>
            <w:rPr>
              <w:sz w:val="20"/>
            </w:rPr>
          </w:pPr>
          <w:r>
            <w:rPr>
              <w:sz w:val="20"/>
            </w:rPr>
            <w:t>Tel:   1900.6568                             Fax: 024.73.000.111</w:t>
          </w:r>
        </w:p>
        <w:p w:rsidR="0033339E" w:rsidRPr="008C3472" w:rsidRDefault="00F5501D" w:rsidP="00F5501D">
          <w:pPr>
            <w:rPr>
              <w:rFonts w:ascii="Arial" w:hAnsi="Arial" w:cs="Arial"/>
              <w:lang w:val="vi-VN"/>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1D" w:rsidRDefault="00F55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D751D"/>
    <w:rsid w:val="003228FE"/>
    <w:rsid w:val="0033339E"/>
    <w:rsid w:val="003D1D1F"/>
    <w:rsid w:val="00705F4F"/>
    <w:rsid w:val="00772810"/>
    <w:rsid w:val="0077602F"/>
    <w:rsid w:val="008B64E8"/>
    <w:rsid w:val="008C3472"/>
    <w:rsid w:val="008F0EE9"/>
    <w:rsid w:val="00922555"/>
    <w:rsid w:val="00985A4B"/>
    <w:rsid w:val="00A77EE3"/>
    <w:rsid w:val="00B935DC"/>
    <w:rsid w:val="00C6003A"/>
    <w:rsid w:val="00DC160D"/>
    <w:rsid w:val="00DF247F"/>
    <w:rsid w:val="00E657EC"/>
    <w:rsid w:val="00EC0DFD"/>
    <w:rsid w:val="00ED2B4A"/>
    <w:rsid w:val="00F5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EB64"/>
  <w15:docId w15:val="{90E62D61-1CFF-491D-9921-EF24EC38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DC160D"/>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 w:type="character" w:customStyle="1" w:styleId="Heading3Char">
    <w:name w:val="Heading 3 Char"/>
    <w:basedOn w:val="DefaultParagraphFont"/>
    <w:link w:val="Heading3"/>
    <w:rsid w:val="00DC160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055">
      <w:bodyDiv w:val="1"/>
      <w:marLeft w:val="0"/>
      <w:marRight w:val="0"/>
      <w:marTop w:val="0"/>
      <w:marBottom w:val="0"/>
      <w:divBdr>
        <w:top w:val="none" w:sz="0" w:space="0" w:color="auto"/>
        <w:left w:val="none" w:sz="0" w:space="0" w:color="auto"/>
        <w:bottom w:val="none" w:sz="0" w:space="0" w:color="auto"/>
        <w:right w:val="none" w:sz="0" w:space="0" w:color="auto"/>
      </w:divBdr>
    </w:div>
    <w:div w:id="5908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Admin</cp:lastModifiedBy>
  <cp:revision>4</cp:revision>
  <dcterms:created xsi:type="dcterms:W3CDTF">2018-05-14T02:01:00Z</dcterms:created>
  <dcterms:modified xsi:type="dcterms:W3CDTF">2020-11-10T04:53:00Z</dcterms:modified>
</cp:coreProperties>
</file>