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3348"/>
        <w:gridCol w:w="5508"/>
      </w:tblGrid>
      <w:tr w:rsidR="002B69EA" w:rsidRPr="002B69EA" w:rsidTr="002A0ED1">
        <w:tc>
          <w:tcPr>
            <w:tcW w:w="334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color w:val="000000"/>
              </w:rPr>
              <w:t>ỦY BAN NHÂN DÂN</w:t>
            </w:r>
            <w:r w:rsidRPr="002B69EA">
              <w:rPr>
                <w:rFonts w:ascii="Arial" w:hAnsi="Arial" w:cs="Arial"/>
                <w:b/>
                <w:bCs/>
                <w:color w:val="000000"/>
              </w:rPr>
              <w:br/>
              <w:t>TỈNH BẠC LIÊU</w:t>
            </w:r>
            <w:r w:rsidRPr="002B69EA">
              <w:rPr>
                <w:rFonts w:ascii="Arial" w:hAnsi="Arial" w:cs="Arial"/>
                <w:b/>
                <w:bCs/>
                <w:color w:val="000000"/>
              </w:rPr>
              <w:br/>
              <w:t>--------</w:t>
            </w:r>
          </w:p>
        </w:tc>
        <w:tc>
          <w:tcPr>
            <w:tcW w:w="550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rPr>
              <w:t>CỘNG HÒA XÃ HỘI CHỦ NGHĨA VIỆT NAM</w:t>
            </w:r>
            <w:r w:rsidRPr="002B69EA">
              <w:rPr>
                <w:rFonts w:ascii="Arial" w:hAnsi="Arial" w:cs="Arial"/>
                <w:b/>
                <w:bCs/>
              </w:rPr>
              <w:br/>
              <w:t xml:space="preserve">Độc lập - Tự do - Hạnh phúc </w:t>
            </w:r>
            <w:r w:rsidRPr="002B69EA">
              <w:rPr>
                <w:rFonts w:ascii="Arial" w:hAnsi="Arial" w:cs="Arial"/>
                <w:b/>
                <w:bCs/>
              </w:rPr>
              <w:br/>
              <w:t>---------------</w:t>
            </w:r>
          </w:p>
        </w:tc>
      </w:tr>
      <w:tr w:rsidR="002B69EA" w:rsidRPr="002B69EA" w:rsidTr="002A0ED1">
        <w:tc>
          <w:tcPr>
            <w:tcW w:w="334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color w:val="000000"/>
              </w:rPr>
              <w:t>Số: 04/2015/QĐ-UBND</w:t>
            </w:r>
          </w:p>
        </w:tc>
        <w:tc>
          <w:tcPr>
            <w:tcW w:w="5508" w:type="dxa"/>
            <w:tcMar>
              <w:top w:w="0" w:type="dxa"/>
              <w:left w:w="108" w:type="dxa"/>
              <w:bottom w:w="0" w:type="dxa"/>
              <w:right w:w="108" w:type="dxa"/>
            </w:tcMar>
            <w:hideMark/>
          </w:tcPr>
          <w:p w:rsidR="002B69EA" w:rsidRPr="002B69EA" w:rsidRDefault="002B69EA" w:rsidP="002A0ED1">
            <w:pPr>
              <w:pStyle w:val="NormalWeb"/>
              <w:spacing w:after="120" w:afterAutospacing="0"/>
              <w:jc w:val="right"/>
              <w:rPr>
                <w:rFonts w:ascii="Arial" w:hAnsi="Arial" w:cs="Arial"/>
              </w:rPr>
            </w:pPr>
            <w:r w:rsidRPr="002B69EA">
              <w:rPr>
                <w:rFonts w:ascii="Arial" w:hAnsi="Arial" w:cs="Arial"/>
                <w:i/>
                <w:iCs/>
                <w:color w:val="000000"/>
              </w:rPr>
              <w:t>Bạc Liêu, ngày 28 tháng 01 năm 2015</w:t>
            </w:r>
          </w:p>
        </w:tc>
      </w:tr>
    </w:tbl>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QUYẾT ĐỊNH</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snapToGrid w:val="0"/>
          <w:color w:val="000000"/>
        </w:rPr>
        <w:t>BAN HÀNH QUY ĐỊNH DIỆN TÍCH TỐI THIỂU ĐẤT Ở, ĐẤT NÔNG NGHIỆP GẮN LIỀN VỚI ĐẤT Ở ĐƯỢC TÁCH THỬA VÀ CHUYỂN MỤC ĐÍCH SANG ĐẤT Ở TRÊN ĐỊA BÀN TỈNH BẠC LIÊU</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snapToGrid w:val="0"/>
          <w:color w:val="000000"/>
        </w:rPr>
        <w:t>ỦY BAN NHÂN DÂN 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Luật Tổ chức Hội đồng nhân dân và Ủy ban nhân dân ngày 26 tháng 11 năm 2003;</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Luật Đất đai năm 2013;</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Nghị định số 43/2014/NĐ-CP ngày 15 tháng 5 năm 2014 của Chính phủ quy định chi tiết thi hành một số điều của Luật Đất đai;</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Căn cứ Quyết định số 04/2008/QĐ-BXD ngày 03 tháng 4 năm 2008 của Bộ Xây dựng về việc ban hành Quy chuẩn kỹ thuật quốc gia về quy hoạch xây dựng;</w:t>
      </w:r>
    </w:p>
    <w:p w:rsidR="002B69EA" w:rsidRPr="002B69EA" w:rsidRDefault="002B69EA" w:rsidP="002B69EA">
      <w:pPr>
        <w:pStyle w:val="NormalWeb"/>
        <w:spacing w:after="120" w:afterAutospacing="0"/>
        <w:rPr>
          <w:rFonts w:ascii="Arial" w:hAnsi="Arial" w:cs="Arial"/>
        </w:rPr>
      </w:pPr>
      <w:r w:rsidRPr="002B69EA">
        <w:rPr>
          <w:rFonts w:ascii="Arial" w:hAnsi="Arial" w:cs="Arial"/>
          <w:i/>
          <w:iCs/>
          <w:color w:val="000000"/>
        </w:rPr>
        <w:t>Theo đề nghị của Giám đốc Sở Tài nguyên và Môi trường tại Tờ trình số 20/TTr-STNMT ngày 20 tháng 01 năm 2015,</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QUYẾT ĐỊNH:</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Điều 1.</w:t>
      </w:r>
      <w:r w:rsidRPr="002B69EA">
        <w:rPr>
          <w:rFonts w:ascii="Arial" w:hAnsi="Arial" w:cs="Arial"/>
          <w:color w:val="000000"/>
        </w:rPr>
        <w:t xml:space="preserve"> Ban hành kèm theo Quyết định này diện tích tối thiểu đất ở, đất nông nghiệp gắn liền với đất ở được tách thửa và chuyển mục đích sang đất ở trên địa bàn</w:t>
      </w:r>
      <w:r w:rsidRPr="002B69EA">
        <w:rPr>
          <w:rFonts w:ascii="Arial" w:hAnsi="Arial" w:cs="Arial"/>
          <w:snapToGrid w:val="0"/>
          <w:color w:val="000000"/>
        </w:rPr>
        <w:t xml:space="preserve"> </w:t>
      </w:r>
      <w:r w:rsidRPr="002B69EA">
        <w:rPr>
          <w:rFonts w:ascii="Arial" w:hAnsi="Arial" w:cs="Arial"/>
          <w:color w:val="000000"/>
        </w:rPr>
        <w:t>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lastRenderedPageBreak/>
        <w:t>Điều 2.</w:t>
      </w:r>
      <w:r w:rsidRPr="002B69EA">
        <w:rPr>
          <w:rFonts w:ascii="Arial" w:hAnsi="Arial" w:cs="Arial"/>
          <w:color w:val="000000"/>
        </w:rPr>
        <w:t xml:space="preserve"> Giao Giám đốc Sở Tài nguyên và Môi trường chủ trì, phối hợp với Thủ trưởng các sở, ban, ngành có liên quan, Chủ tịch Ủy ban nhân dân các huyện, thành phố Bạc Liêu tổ chức triển khai và hướng dẫn thực hiện Quyết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3. </w:t>
      </w:r>
      <w:r w:rsidRPr="002B69EA">
        <w:rPr>
          <w:rFonts w:ascii="Arial" w:hAnsi="Arial" w:cs="Arial"/>
          <w:color w:val="000000"/>
        </w:rPr>
        <w:t>Chánh Văn phòng Ủy ban nhân dân tỉnh, Giám đốc Sở Tài nguyên và Môi trường, Chủ tịch Ủy ban nhân dân các huyện, thành phố Bạc Liêu, Thủ trưởng các sở, ban, ngành chức năng và các tổ chức, hộ gia đình, cá nhân có liên quan căn cứ quyết định thi hành.</w:t>
      </w:r>
    </w:p>
    <w:p w:rsidR="002B69EA" w:rsidRPr="002B69EA" w:rsidRDefault="002B69EA" w:rsidP="002B69EA">
      <w:pPr>
        <w:pStyle w:val="NormalWeb"/>
        <w:rPr>
          <w:rFonts w:ascii="Arial" w:hAnsi="Arial" w:cs="Arial"/>
        </w:rPr>
      </w:pPr>
      <w:r w:rsidRPr="002B69EA">
        <w:rPr>
          <w:rFonts w:ascii="Arial" w:hAnsi="Arial" w:cs="Arial"/>
          <w:color w:val="000000"/>
        </w:rPr>
        <w:t>Quyết định này có hiệu lực thi hành sau 10 ngày kể từ ngày ký và thay thế Quyết định số 14/2012/QĐ-UBND ngày 20 tháng 12 năm 2012 của Ủy ban nhân dân tỉnh về việc ban hành Quy định diện tích tối thiểu được phép tách thửa đối với từng loại đất trên địa bàn tỉnh Bạc Liêu./.</w:t>
      </w:r>
    </w:p>
    <w:p w:rsidR="002B69EA" w:rsidRPr="002B69EA" w:rsidRDefault="002B69EA" w:rsidP="002B69EA">
      <w:pPr>
        <w:pStyle w:val="NormalWeb"/>
        <w:rPr>
          <w:rFonts w:ascii="Arial" w:hAnsi="Arial" w:cs="Arial"/>
        </w:rPr>
      </w:pPr>
      <w:r w:rsidRPr="002B69EA">
        <w:rPr>
          <w:rFonts w:ascii="Arial" w:hAnsi="Arial" w:cs="Arial"/>
          <w:color w:val="000000"/>
        </w:rPr>
        <w:t> </w:t>
      </w:r>
    </w:p>
    <w:tbl>
      <w:tblPr>
        <w:tblW w:w="0" w:type="auto"/>
        <w:tblCellMar>
          <w:left w:w="0" w:type="dxa"/>
          <w:right w:w="0" w:type="dxa"/>
        </w:tblCellMar>
        <w:tblLook w:val="04A0" w:firstRow="1" w:lastRow="0" w:firstColumn="1" w:lastColumn="0" w:noHBand="0" w:noVBand="1"/>
      </w:tblPr>
      <w:tblGrid>
        <w:gridCol w:w="4068"/>
        <w:gridCol w:w="4788"/>
      </w:tblGrid>
      <w:tr w:rsidR="002B69EA" w:rsidRPr="002B69EA" w:rsidTr="002A0ED1">
        <w:tc>
          <w:tcPr>
            <w:tcW w:w="4068" w:type="dxa"/>
            <w:tcMar>
              <w:top w:w="0" w:type="dxa"/>
              <w:left w:w="108" w:type="dxa"/>
              <w:bottom w:w="0" w:type="dxa"/>
              <w:right w:w="108" w:type="dxa"/>
            </w:tcMar>
            <w:hideMark/>
          </w:tcPr>
          <w:p w:rsidR="002B69EA" w:rsidRPr="002B69EA" w:rsidRDefault="002B69EA" w:rsidP="002A0ED1">
            <w:pPr>
              <w:pStyle w:val="NormalWeb"/>
              <w:spacing w:after="120" w:afterAutospacing="0"/>
              <w:rPr>
                <w:rFonts w:ascii="Arial" w:hAnsi="Arial" w:cs="Arial"/>
              </w:rPr>
            </w:pPr>
            <w:r w:rsidRPr="002B69EA">
              <w:rPr>
                <w:rFonts w:ascii="Arial" w:hAnsi="Arial" w:cs="Arial"/>
                <w:b/>
                <w:bCs/>
              </w:rPr>
              <w:t> </w:t>
            </w:r>
          </w:p>
        </w:tc>
        <w:tc>
          <w:tcPr>
            <w:tcW w:w="4788" w:type="dxa"/>
            <w:tcMar>
              <w:top w:w="0" w:type="dxa"/>
              <w:left w:w="108" w:type="dxa"/>
              <w:bottom w:w="0" w:type="dxa"/>
              <w:right w:w="108" w:type="dxa"/>
            </w:tcMar>
            <w:hideMark/>
          </w:tcPr>
          <w:p w:rsidR="002B69EA" w:rsidRPr="002B69EA" w:rsidRDefault="002B69EA" w:rsidP="002A0ED1">
            <w:pPr>
              <w:pStyle w:val="NormalWeb"/>
              <w:spacing w:after="120" w:afterAutospacing="0"/>
              <w:jc w:val="center"/>
              <w:rPr>
                <w:rFonts w:ascii="Arial" w:hAnsi="Arial" w:cs="Arial"/>
              </w:rPr>
            </w:pPr>
            <w:r w:rsidRPr="002B69EA">
              <w:rPr>
                <w:rFonts w:ascii="Arial" w:hAnsi="Arial" w:cs="Arial"/>
                <w:b/>
                <w:bCs/>
                <w:color w:val="000000"/>
              </w:rPr>
              <w:t>TM. UBND TỈNH</w:t>
            </w:r>
            <w:r w:rsidRPr="002B69EA">
              <w:rPr>
                <w:rFonts w:ascii="Arial" w:hAnsi="Arial" w:cs="Arial"/>
                <w:b/>
                <w:bCs/>
                <w:color w:val="000000"/>
              </w:rPr>
              <w:br/>
              <w:t>KT. CHỦ TỊCH</w:t>
            </w:r>
            <w:r w:rsidRPr="002B69EA">
              <w:rPr>
                <w:rFonts w:ascii="Arial" w:hAnsi="Arial" w:cs="Arial"/>
                <w:b/>
                <w:bCs/>
                <w:color w:val="000000"/>
              </w:rPr>
              <w:br/>
              <w:t>PHÓ CHỦ TỊCH</w:t>
            </w:r>
            <w:r w:rsidRPr="002B69EA">
              <w:rPr>
                <w:rFonts w:ascii="Arial" w:hAnsi="Arial" w:cs="Arial"/>
                <w:b/>
                <w:bCs/>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color w:val="000000"/>
              </w:rPr>
              <w:br/>
            </w:r>
            <w:r w:rsidRPr="002B69EA">
              <w:rPr>
                <w:rFonts w:ascii="Arial" w:hAnsi="Arial" w:cs="Arial"/>
                <w:b/>
                <w:bCs/>
                <w:color w:val="000000"/>
              </w:rPr>
              <w:t>Lê Thanh Dũng</w:t>
            </w:r>
          </w:p>
        </w:tc>
      </w:tr>
    </w:tbl>
    <w:p w:rsidR="002B69EA" w:rsidRPr="002B69EA" w:rsidRDefault="002B69EA" w:rsidP="002B69EA">
      <w:pPr>
        <w:pStyle w:val="NormalWeb"/>
        <w:rPr>
          <w:rFonts w:ascii="Arial" w:hAnsi="Arial" w:cs="Arial"/>
        </w:rPr>
      </w:pPr>
      <w:r w:rsidRPr="002B69EA">
        <w:rPr>
          <w:rFonts w:ascii="Arial" w:hAnsi="Arial" w:cs="Arial"/>
          <w:color w:val="000000"/>
        </w:rPr>
        <w:t> </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 ĐỊNH</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color w:val="000000"/>
        </w:rPr>
        <w:t>DIỆN TÍCH TỐI THIỂU ĐẤT Ở, ĐẤT NÔNG NGHIỆP GẮN LIỀN VỚI ĐẤT Ở ĐƯỢC TÁCH THỬA VÀ CHUYỂN MỤC ĐÍCH SANG ĐẤT Ở TRÊN ĐỊA BÀN TỈNH BẠC LIÊU</w:t>
      </w:r>
      <w:r w:rsidRPr="002B69EA">
        <w:rPr>
          <w:rFonts w:ascii="Arial" w:hAnsi="Arial" w:cs="Arial"/>
          <w:color w:val="000000"/>
        </w:rPr>
        <w:br/>
      </w:r>
      <w:r w:rsidRPr="002B69EA">
        <w:rPr>
          <w:rFonts w:ascii="Arial" w:hAnsi="Arial" w:cs="Arial"/>
          <w:i/>
          <w:iCs/>
          <w:color w:val="000000"/>
        </w:rPr>
        <w:t>(Ban hành kèm theo Quyết định số 04/2015/QĐ-UBND ngày 28 tháng 01 năm 2015 của Ủy ban nhân dân 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lastRenderedPageBreak/>
        <w:t>Chương 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QUY ĐỊNH CHUNG</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1. </w:t>
      </w:r>
      <w:r w:rsidRPr="002B69EA">
        <w:rPr>
          <w:rFonts w:ascii="Arial" w:hAnsi="Arial" w:cs="Arial"/>
          <w:color w:val="000000"/>
        </w:rPr>
        <w:t>Phạm vi điều chỉnh</w:t>
      </w:r>
    </w:p>
    <w:p w:rsidR="002B69EA" w:rsidRPr="002B69EA" w:rsidRDefault="002B69EA" w:rsidP="002B69EA">
      <w:pPr>
        <w:pStyle w:val="NormalWeb"/>
        <w:rPr>
          <w:rFonts w:ascii="Arial" w:hAnsi="Arial" w:cs="Arial"/>
        </w:rPr>
      </w:pPr>
      <w:r w:rsidRPr="002B69EA">
        <w:rPr>
          <w:rFonts w:ascii="Arial" w:hAnsi="Arial" w:cs="Arial"/>
          <w:color w:val="000000"/>
        </w:rPr>
        <w:t>Quy định này quy định diện tích tối thiểu đất ở, đất nông nghiệp gắn liền với đất ở được tách thửa và chuyển mục đích sử dụng đất sang đất ở trên địa bàn tỉnh Bạc Liêu.</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2. </w:t>
      </w:r>
      <w:r w:rsidRPr="002B69EA">
        <w:rPr>
          <w:rFonts w:ascii="Arial" w:hAnsi="Arial" w:cs="Arial"/>
          <w:color w:val="000000"/>
        </w:rPr>
        <w:t>Đối tượng áp dụng</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Cơ quan thực hiện chức năng quản lý nhà nước về đất đai.</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2. Người sử dụng đất quy định tại Điều 5 của Luật Đất đai năm 2013.</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Chương II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DIỆN TÍCH ĐẤT TỐI THIỂU ĐƯỢC TÁCH THỬA VÀ KHÔNG ĐƯỢC PHÉP TÁCH THỬA</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3. </w:t>
      </w:r>
      <w:r w:rsidRPr="002B69EA">
        <w:rPr>
          <w:rFonts w:ascii="Arial" w:hAnsi="Arial" w:cs="Arial"/>
          <w:color w:val="000000"/>
        </w:rPr>
        <w:t>Diện tích tối thiểu được tách thửa (d</w:t>
      </w:r>
      <w:r w:rsidRPr="002B69EA">
        <w:rPr>
          <w:rFonts w:ascii="Arial" w:hAnsi="Arial" w:cs="Arial"/>
          <w:color w:val="000000"/>
          <w:shd w:val="clear" w:color="auto" w:fill="FFFFFF"/>
        </w:rPr>
        <w:t>iện tích tối thiểu được tách thửa là diện tích nhỏ nhất được tách ra từ một thửa đất để được cấp giấy chứng nhận quyền sử dụng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Đất ở đô thị:</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ở có nhà hiện hữu: Không nhỏ hơn 35m2, có chiều rộng từ 3,5m và chiều sâu so với chỉ giới xây dựng từ 04m trở lên.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ở chưa có nhà:</w:t>
      </w:r>
      <w:r w:rsidRPr="002B69EA">
        <w:rPr>
          <w:rFonts w:ascii="Arial" w:hAnsi="Arial" w:cs="Arial"/>
          <w:b/>
          <w:bCs/>
          <w:color w:val="000000"/>
        </w:rPr>
        <w:t xml:space="preserve"> </w:t>
      </w:r>
      <w:r w:rsidRPr="002B69EA">
        <w:rPr>
          <w:rFonts w:ascii="Arial" w:hAnsi="Arial" w:cs="Arial"/>
          <w:color w:val="000000"/>
        </w:rPr>
        <w:t>Không nhỏ hơn 40m2, có chiều rộng từ 04m và chiều sâu so với chỉ giới xây dựng từ 04m trở lên.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2. Đất ở nông thôn: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lastRenderedPageBreak/>
        <w:t>- Đất ở có nhà hiện hữu: Không nhỏ hơn 50m2, có chiều rộng từ 04m và chiều sâu so với chỉ giới xây dựng từ 04m trở lên.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ở chưa có nhà:</w:t>
      </w:r>
      <w:r w:rsidRPr="002B69EA">
        <w:rPr>
          <w:rFonts w:ascii="Arial" w:hAnsi="Arial" w:cs="Arial"/>
          <w:b/>
          <w:bCs/>
          <w:color w:val="000000"/>
        </w:rPr>
        <w:t xml:space="preserve"> </w:t>
      </w:r>
      <w:r w:rsidRPr="002B69EA">
        <w:rPr>
          <w:rFonts w:ascii="Arial" w:hAnsi="Arial" w:cs="Arial"/>
          <w:color w:val="000000"/>
        </w:rPr>
        <w:t>Không nhỏ hơn 60m2, có chiều rộng từ 04m và chiều sâu so với chỉ giới xây dựng từ 04m trở lên.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3. Đất nông nghiệp gắn liền với đất ở:</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Khu vực đô thị:</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lâu năm, đất vườn, ao: Không nhỏ hơn 80m2, có chiều rộng từ 04m và chiều sâu từ 15m trở lên (đối với thửa đất có chiều sâu trên 15m).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hàng năm, đất nuôi trồng thủy sản, làm muối: Không nhỏ hơn 100m2, có chiều rộng từ 04m và chiều sâu từ 20m trở lên (đối với thửa đất có chiều sâu trên 20m).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Khu vực nông thôn: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lâu năm, đất vườn, ao: Không nhỏ hơn 100m2, có chiều rộng từ 4m và chiều sâu từ 20m trở lên (đối với thửa đất có chiều sâu trên 20m).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Đất trồng cây hàng năm, đất nuôi trồng thủy sản, làm muối: Không nhỏ hơn 150m2, có chiều rộng từ 4m và chiều sâu từ 25m trở lên (đối với thửa đất có chiều sâu trên 25m).</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Trường hợp tách đất nông nghiệp đồng thời xin phép chuyển mục đích sang đất ở thì diện tích tối thiểu phải đảm bảo theo quy định tại Khoản 1 và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Trường hợp tách đất nông nghiệp cùng với đất ở và đồng thời xin chuyển mục đích sử dụng nông nghiệp sang đất ở thì tổng diện tích đất sau khi chuyển mục đích sử dụng phải đảm bảo theo quy định tại Khoản 1 và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lastRenderedPageBreak/>
        <w:t>- Trường hợp tách đất nông nghiệp để chuyển mục đích sang đất ở hoặc chuyển quyền kết hợp với chuyển mục đích sang đất ở thì diện tích tối thiểu của thửa đất mới được hình thành và thửa đất còn lại phải đảm bảo theo quy định tại Khoản 1, 2, Điều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4. Trường hợp tách thửa thành nhiều thửa đất có diện tích nhỏ hơn diện tích tối thiểu mà đồng thời với việc xin hợp thửa đất đó với thửa đất khác liền kề để tạo thành thửa đất mới có diện tích bằng hoặc lớn hơn diện tích tối thiểu tại Quy định này thì được phép tách thửa đồng thời với việc hợp thửa với thửa đất liền kề và được cấp giấy chứng nhận.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5. Các trường hợp không quy định diện tích tối thiểu tách thửa:</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Tách thửa do nhà nước thu hồi một phần thửa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Tặng cho quyền sử dụng đất cho nhà nước; tặng cho quyền sử dụng đất cho cộng đồng dân cư để xây dựng các công trình phục vụ lợi ích chung của cộng đồng; tặng cho nhà tình nghĩa gắn liền với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Thửa đất đang sử dụng được hình thành theo quy định đã được cơ quan có thẩm quyền cho phép trước khi ban hành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Trường hợp thực hiện quyết định giải quyết tranh chấp, khiếu nại về đất đai có hiệu lực pháp luật; bản án hoặc quyết định của tòa án nhân dân đã có hiệu lực pháp luật; quyết định thi hành án của cơ quan thi hành án; xử lý nợ theo hợp đồng thế chấp; văn bản về kết quả hòa giải thành về tranh chấp đất đai được Ủy ban nhân dân cấp có thẩm quyền công nhận.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Thửa đất do tổ chức hoặc cá nhân thỏa thuận bồi thường hoặc nhận chuyển nhượng đất để thực hiện dự án đầu tư đã được cơ quan có thẩm quyền phê duyệt.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Bán nhà thuộc sở hữu nhà nước theo Nghị định số 34/2013/NĐ-CP ngày 22/4/2013 của Chính phủ về quản lý sử dụng nhà ở thuộc sở hữu nhà nước.</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Các trường hợp phân chia tài sản thừa kế, ly hôn theo quy định.</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lastRenderedPageBreak/>
        <w:t xml:space="preserve">Điều 4. </w:t>
      </w:r>
      <w:r w:rsidRPr="002B69EA">
        <w:rPr>
          <w:rFonts w:ascii="Arial" w:hAnsi="Arial" w:cs="Arial"/>
          <w:color w:val="000000"/>
        </w:rPr>
        <w:t>Các trường hợp không được phép tách thửa</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Đất thuộc dự án nhà ở, khu dân cư, tái định cư và khu đô thị mới đã thực hiện theo quy hoạch do cơ quan có thẩm quyền phê duyệt.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2. Các thửa đất thuộc khu vực đã có thông báo thu hồi đất của cơ quan nhà nước có thẩm quyền.</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3. Các thửa đất không đủ điều kiện cấp Giấy chứng nhận theo quy định của pháp luật.</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5. </w:t>
      </w:r>
      <w:r w:rsidRPr="002B69EA">
        <w:rPr>
          <w:rFonts w:ascii="Arial" w:hAnsi="Arial" w:cs="Arial"/>
          <w:color w:val="000000"/>
        </w:rPr>
        <w:t>Diện tích cho phép chuyển mục đích sử dụng đất</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Trường hợp thửa đất nông nghiệp phù hợp quy hoạch là đất ở và không thuộc trường hợp thu hồi đất, người sử dụng đất xin chuyển mục đích sử dụng đất nông nghiệp sang đất ở thì diện tích sau khi chuyển mục đích phải đảm bảo theo quy định tại Khoản 1, 2, Điều 3,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Điều 6.</w:t>
      </w:r>
      <w:r w:rsidRPr="002B69EA">
        <w:rPr>
          <w:rFonts w:ascii="Arial" w:hAnsi="Arial" w:cs="Arial"/>
          <w:color w:val="000000"/>
        </w:rPr>
        <w:t xml:space="preserve"> Đối với các hồ sơ đề nghị xin tách thửa đã nộp trước thời điểm Quy định này và đang được cơ quan nhà nước có thẩm quyền giải quyết thì không áp dụng theo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Chương III</w:t>
      </w:r>
    </w:p>
    <w:p w:rsidR="002B69EA" w:rsidRPr="002B69EA" w:rsidRDefault="002B69EA" w:rsidP="002B69EA">
      <w:pPr>
        <w:pStyle w:val="NormalWeb"/>
        <w:spacing w:after="120" w:afterAutospacing="0"/>
        <w:jc w:val="center"/>
        <w:rPr>
          <w:rFonts w:ascii="Arial" w:hAnsi="Arial" w:cs="Arial"/>
        </w:rPr>
      </w:pPr>
      <w:r w:rsidRPr="002B69EA">
        <w:rPr>
          <w:rFonts w:ascii="Arial" w:hAnsi="Arial" w:cs="Arial"/>
          <w:b/>
          <w:bCs/>
          <w:color w:val="000000"/>
        </w:rPr>
        <w:t>TỔ CHỨC THỰC HIỆN</w:t>
      </w:r>
    </w:p>
    <w:p w:rsidR="002B69EA" w:rsidRPr="002B69EA" w:rsidRDefault="002B69EA" w:rsidP="002B69EA">
      <w:pPr>
        <w:pStyle w:val="NormalWeb"/>
        <w:spacing w:after="120" w:afterAutospacing="0"/>
        <w:rPr>
          <w:rFonts w:ascii="Arial" w:hAnsi="Arial" w:cs="Arial"/>
        </w:rPr>
      </w:pPr>
      <w:r w:rsidRPr="002B69EA">
        <w:rPr>
          <w:rFonts w:ascii="Arial" w:hAnsi="Arial" w:cs="Arial"/>
          <w:b/>
          <w:bCs/>
          <w:color w:val="000000"/>
        </w:rPr>
        <w:t xml:space="preserve">Điều 7. </w:t>
      </w:r>
      <w:r w:rsidRPr="002B69EA">
        <w:rPr>
          <w:rFonts w:ascii="Arial" w:hAnsi="Arial" w:cs="Arial"/>
          <w:color w:val="000000"/>
        </w:rPr>
        <w:t>Trách nhiệm của cơ quan nhà nước</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1. Giao Sở Tài nguyên và Môi trường chịu trách nhiệm phối hợp với các sở, ngành, đơn vị chức năng có liên quan và Ủy ban nhân dân các huyện, thành phố Bạc Liêu tổ chức triển khai thực hiện Quy định này.</w:t>
      </w:r>
    </w:p>
    <w:p w:rsidR="002B69EA" w:rsidRPr="002B69EA" w:rsidRDefault="002B69EA" w:rsidP="002B69EA">
      <w:pPr>
        <w:pStyle w:val="NormalWeb"/>
        <w:spacing w:after="120" w:afterAutospacing="0"/>
        <w:rPr>
          <w:rFonts w:ascii="Arial" w:hAnsi="Arial" w:cs="Arial"/>
        </w:rPr>
      </w:pPr>
      <w:r w:rsidRPr="002B69EA">
        <w:rPr>
          <w:rFonts w:ascii="Arial" w:hAnsi="Arial" w:cs="Arial"/>
          <w:color w:val="000000"/>
        </w:rPr>
        <w:t xml:space="preserve">2. Trong quá trình thực hiện, nếu có khó khăn, vướng mắc thì các tổ chức, cá nhân có liên quan kịp thời phản ánh về Sở Tài nguyên và Môi trường để được hướng dẫn, </w:t>
      </w:r>
      <w:r w:rsidRPr="002B69EA">
        <w:rPr>
          <w:rFonts w:ascii="Arial" w:hAnsi="Arial" w:cs="Arial"/>
          <w:color w:val="000000"/>
        </w:rPr>
        <w:lastRenderedPageBreak/>
        <w:t>trường hợp vượt thẩm quyền thì tổng hợp báo cáo theo đúng quy định của pháp luật, trình Ủy ban nhân dân tỉnh xem xét, quyết định./.</w:t>
      </w:r>
    </w:p>
    <w:p w:rsidR="002B69EA" w:rsidRPr="002B69EA" w:rsidRDefault="002B69EA" w:rsidP="002B69EA">
      <w:pPr>
        <w:pStyle w:val="NormalWeb"/>
        <w:rPr>
          <w:rFonts w:ascii="Arial" w:hAnsi="Arial" w:cs="Arial"/>
        </w:rPr>
      </w:pPr>
      <w:r w:rsidRPr="002B69EA">
        <w:rPr>
          <w:rFonts w:ascii="Arial" w:hAnsi="Arial" w:cs="Arial"/>
          <w:color w:val="000000"/>
        </w:rPr>
        <w:t> </w:t>
      </w:r>
    </w:p>
    <w:p w:rsidR="00C04DA8" w:rsidRPr="002B69EA" w:rsidRDefault="0070581C" w:rsidP="002B69EA">
      <w:pPr>
        <w:rPr>
          <w:rFonts w:ascii="Arial" w:hAnsi="Arial" w:cs="Arial"/>
        </w:rPr>
      </w:pPr>
    </w:p>
    <w:sectPr w:rsidR="00C04DA8" w:rsidRPr="002B69E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1C" w:rsidRDefault="0070581C" w:rsidP="0033339E">
      <w:r>
        <w:separator/>
      </w:r>
    </w:p>
  </w:endnote>
  <w:endnote w:type="continuationSeparator" w:id="0">
    <w:p w:rsidR="0070581C" w:rsidRDefault="0070581C"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1" w:rsidRDefault="00BB2A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1" w:rsidRDefault="00BB2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1C" w:rsidRDefault="0070581C" w:rsidP="0033339E">
      <w:r>
        <w:separator/>
      </w:r>
    </w:p>
  </w:footnote>
  <w:footnote w:type="continuationSeparator" w:id="0">
    <w:p w:rsidR="0070581C" w:rsidRDefault="0070581C" w:rsidP="00333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1" w:rsidRDefault="00BB2A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BB2A41" w:rsidRDefault="00BB2A41" w:rsidP="00BB2A41">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BB2A41" w:rsidRDefault="00BB2A41" w:rsidP="00BB2A41">
          <w:pPr>
            <w:rPr>
              <w:sz w:val="20"/>
            </w:rPr>
          </w:pPr>
          <w:r>
            <w:rPr>
              <w:sz w:val="20"/>
            </w:rPr>
            <w:t>89 To Vinh Dien Street, Thanh Xuan District, Hanoi City, Viet Nam</w:t>
          </w:r>
        </w:p>
        <w:p w:rsidR="00BB2A41" w:rsidRDefault="00BB2A41" w:rsidP="00BB2A41">
          <w:pPr>
            <w:rPr>
              <w:sz w:val="20"/>
            </w:rPr>
          </w:pPr>
          <w:r>
            <w:rPr>
              <w:sz w:val="20"/>
            </w:rPr>
            <w:t>Tel:   1900.6568                             Fax: 024.73.000.111</w:t>
          </w:r>
        </w:p>
        <w:p w:rsidR="0033339E" w:rsidRPr="008C3472" w:rsidRDefault="00BB2A41" w:rsidP="00BB2A41">
          <w:pPr>
            <w:rPr>
              <w:rFonts w:ascii="Arial" w:hAnsi="Arial" w:cs="Arial"/>
              <w:lang w:val="vi-VN"/>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1" w:rsidRDefault="00BB2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2B69EA"/>
    <w:rsid w:val="002D751D"/>
    <w:rsid w:val="003228FE"/>
    <w:rsid w:val="0033339E"/>
    <w:rsid w:val="003D1D1F"/>
    <w:rsid w:val="0070581C"/>
    <w:rsid w:val="00771A2A"/>
    <w:rsid w:val="00772810"/>
    <w:rsid w:val="008B64E8"/>
    <w:rsid w:val="008C3472"/>
    <w:rsid w:val="008F0EE9"/>
    <w:rsid w:val="00922555"/>
    <w:rsid w:val="00985A4B"/>
    <w:rsid w:val="00A77EE3"/>
    <w:rsid w:val="00BB2A41"/>
    <w:rsid w:val="00C6003A"/>
    <w:rsid w:val="00D62DAC"/>
    <w:rsid w:val="00DC160D"/>
    <w:rsid w:val="00EC0DFD"/>
    <w:rsid w:val="00ED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2AE2E-6BE5-4EE2-8549-597D2B30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qFormat/>
    <w:rsid w:val="00DC160D"/>
    <w:pPr>
      <w:keepNext/>
      <w:spacing w:before="240" w:after="60"/>
      <w:outlineLvl w:val="2"/>
    </w:pPr>
    <w:rPr>
      <w:rFonts w:ascii="Arial" w:eastAsia="Times New Roman" w:hAnsi="Arial" w:cs="Arial"/>
      <w:b/>
      <w:bCs/>
      <w:sz w:val="26"/>
      <w:szCs w:val="26"/>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 w:type="character" w:customStyle="1" w:styleId="Heading3Char">
    <w:name w:val="Heading 3 Char"/>
    <w:basedOn w:val="DefaultParagraphFont"/>
    <w:link w:val="Heading3"/>
    <w:rsid w:val="00DC160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Admin</cp:lastModifiedBy>
  <cp:revision>3</cp:revision>
  <dcterms:created xsi:type="dcterms:W3CDTF">2018-05-14T02:35:00Z</dcterms:created>
  <dcterms:modified xsi:type="dcterms:W3CDTF">2020-10-31T01:42:00Z</dcterms:modified>
</cp:coreProperties>
</file>