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C4694" w:rsidRPr="001C4694" w:rsidTr="0027617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C4694" w:rsidRPr="001C4694" w:rsidRDefault="001C4694" w:rsidP="0027617B">
            <w:pPr>
              <w:spacing w:before="120"/>
              <w:jc w:val="center"/>
              <w:rPr>
                <w:rFonts w:ascii="Arial" w:hAnsi="Arial" w:cs="Arial"/>
              </w:rPr>
            </w:pPr>
            <w:r w:rsidRPr="001C4694">
              <w:rPr>
                <w:rFonts w:ascii="Arial" w:hAnsi="Arial" w:cs="Arial"/>
                <w:b/>
                <w:bCs/>
              </w:rPr>
              <w:t>ỦY BAN NHÂN DÂN</w:t>
            </w:r>
            <w:r w:rsidRPr="001C4694">
              <w:rPr>
                <w:rFonts w:ascii="Arial" w:hAnsi="Arial" w:cs="Arial"/>
                <w:b/>
                <w:bCs/>
              </w:rPr>
              <w:br/>
              <w:t>TỈNH KHÁNH HÒA</w:t>
            </w:r>
            <w:r w:rsidRPr="001C4694">
              <w:rPr>
                <w:rFonts w:ascii="Arial" w:hAnsi="Arial" w:cs="Arial"/>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C4694" w:rsidRPr="001C4694" w:rsidRDefault="001C4694" w:rsidP="0027617B">
            <w:pPr>
              <w:spacing w:before="120"/>
              <w:jc w:val="center"/>
              <w:rPr>
                <w:rFonts w:ascii="Arial" w:hAnsi="Arial" w:cs="Arial"/>
              </w:rPr>
            </w:pPr>
            <w:r w:rsidRPr="001C4694">
              <w:rPr>
                <w:rFonts w:ascii="Arial" w:hAnsi="Arial" w:cs="Arial"/>
                <w:b/>
                <w:bCs/>
              </w:rPr>
              <w:t>CỘNG HÒA XÃ HỘI CHỦ NGHĨA VIỆT NAM</w:t>
            </w:r>
            <w:r w:rsidRPr="001C4694">
              <w:rPr>
                <w:rFonts w:ascii="Arial" w:hAnsi="Arial" w:cs="Arial"/>
                <w:b/>
                <w:bCs/>
              </w:rPr>
              <w:br/>
              <w:t xml:space="preserve">Độc lập - Tự do - Hạnh phúc </w:t>
            </w:r>
            <w:r w:rsidRPr="001C4694">
              <w:rPr>
                <w:rFonts w:ascii="Arial" w:hAnsi="Arial" w:cs="Arial"/>
                <w:b/>
                <w:bCs/>
              </w:rPr>
              <w:br/>
              <w:t>---------------</w:t>
            </w:r>
          </w:p>
        </w:tc>
      </w:tr>
      <w:tr w:rsidR="001C4694" w:rsidRPr="001C4694" w:rsidTr="0027617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C4694" w:rsidRPr="001C4694" w:rsidRDefault="001C4694" w:rsidP="0027617B">
            <w:pPr>
              <w:spacing w:before="120"/>
              <w:jc w:val="center"/>
              <w:rPr>
                <w:rFonts w:ascii="Arial" w:hAnsi="Arial" w:cs="Arial"/>
              </w:rPr>
            </w:pPr>
            <w:r w:rsidRPr="001C4694">
              <w:rPr>
                <w:rFonts w:ascii="Arial" w:hAnsi="Arial" w:cs="Arial"/>
              </w:rPr>
              <w:t>Số: 13/2015/QĐ-UBND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C4694" w:rsidRPr="001C4694" w:rsidRDefault="001C4694" w:rsidP="0027617B">
            <w:pPr>
              <w:spacing w:before="120"/>
              <w:jc w:val="right"/>
              <w:rPr>
                <w:rFonts w:ascii="Arial" w:hAnsi="Arial" w:cs="Arial"/>
              </w:rPr>
            </w:pPr>
            <w:r w:rsidRPr="001C4694">
              <w:rPr>
                <w:rFonts w:ascii="Arial" w:hAnsi="Arial" w:cs="Arial"/>
                <w:i/>
                <w:iCs/>
              </w:rPr>
              <w:t>Nha Trang, ngày 30 tháng 06 năm 2015</w:t>
            </w:r>
          </w:p>
        </w:tc>
      </w:tr>
    </w:tbl>
    <w:p w:rsidR="001C4694" w:rsidRPr="001C4694" w:rsidRDefault="001C4694" w:rsidP="001C4694">
      <w:pPr>
        <w:spacing w:before="120" w:after="280" w:afterAutospacing="1"/>
        <w:jc w:val="center"/>
        <w:rPr>
          <w:rFonts w:ascii="Arial" w:hAnsi="Arial" w:cs="Arial"/>
        </w:rPr>
      </w:pPr>
      <w:r w:rsidRPr="001C4694">
        <w:rPr>
          <w:rFonts w:ascii="Arial" w:hAnsi="Arial" w:cs="Arial"/>
        </w:rPr>
        <w:t> </w:t>
      </w:r>
    </w:p>
    <w:p w:rsidR="001C4694" w:rsidRPr="001C4694" w:rsidRDefault="001C4694" w:rsidP="001C4694">
      <w:pPr>
        <w:spacing w:before="120" w:after="280" w:afterAutospacing="1"/>
        <w:jc w:val="center"/>
        <w:rPr>
          <w:rFonts w:ascii="Arial" w:hAnsi="Arial" w:cs="Arial"/>
        </w:rPr>
      </w:pPr>
      <w:r w:rsidRPr="001C4694">
        <w:rPr>
          <w:rFonts w:ascii="Arial" w:hAnsi="Arial" w:cs="Arial"/>
          <w:b/>
          <w:bCs/>
        </w:rPr>
        <w:t>QUYẾT ĐỊNH</w:t>
      </w:r>
    </w:p>
    <w:p w:rsidR="001C4694" w:rsidRPr="001C4694" w:rsidRDefault="001C4694" w:rsidP="001C4694">
      <w:pPr>
        <w:spacing w:before="120" w:after="280" w:afterAutospacing="1"/>
        <w:jc w:val="center"/>
        <w:rPr>
          <w:rFonts w:ascii="Arial" w:hAnsi="Arial" w:cs="Arial"/>
        </w:rPr>
      </w:pPr>
      <w:r w:rsidRPr="001C4694">
        <w:rPr>
          <w:rFonts w:ascii="Arial" w:hAnsi="Arial" w:cs="Arial"/>
        </w:rPr>
        <w:t>VỀ VIỆC ĐIỀU CHỈNH BỔ SUNG NỘI DUNG TẠI KHOẢN 2, ĐIỀU 7 CỦA QUY ĐỊNH DIỆN TÍCH TỐI THIỂU ĐƯỢC PHÉP TÁCH THỬA ĐẤT ĐỐI VỚI CÁC LOẠI ĐẤT TRÊN ĐỊA BÀN TỈNH KHÁNH HÒA BAN HÀNH KÈM QUYẾT ĐỊNH SỐ 32/2014/QĐ-UBND NGÀY 21/12/2014 CỦA UBND TỈNH</w:t>
      </w:r>
    </w:p>
    <w:p w:rsidR="001C4694" w:rsidRPr="001C4694" w:rsidRDefault="001C4694" w:rsidP="001C4694">
      <w:pPr>
        <w:spacing w:before="120" w:after="280" w:afterAutospacing="1"/>
        <w:jc w:val="center"/>
        <w:rPr>
          <w:rFonts w:ascii="Arial" w:hAnsi="Arial" w:cs="Arial"/>
        </w:rPr>
      </w:pPr>
      <w:r w:rsidRPr="001C4694">
        <w:rPr>
          <w:rFonts w:ascii="Arial" w:hAnsi="Arial" w:cs="Arial"/>
          <w:b/>
          <w:bCs/>
        </w:rPr>
        <w:t>ỦY BAN NHÂN DÂN TỈNH KHÁNH HÒA</w:t>
      </w:r>
    </w:p>
    <w:p w:rsidR="001C4694" w:rsidRPr="001C4694" w:rsidRDefault="001C4694" w:rsidP="001C4694">
      <w:pPr>
        <w:spacing w:before="120" w:after="280" w:afterAutospacing="1"/>
        <w:rPr>
          <w:rFonts w:ascii="Arial" w:hAnsi="Arial" w:cs="Arial"/>
        </w:rPr>
      </w:pPr>
      <w:r w:rsidRPr="001C4694">
        <w:rPr>
          <w:rFonts w:ascii="Arial" w:hAnsi="Arial" w:cs="Arial"/>
          <w:i/>
          <w:iCs/>
        </w:rPr>
        <w:t>Căn cứ Luật Tổ chức Hội đồng nhân dân và Ủy ban nhân dân ngày 26 tháng 11 năm 2003;</w:t>
      </w:r>
    </w:p>
    <w:p w:rsidR="001C4694" w:rsidRPr="001C4694" w:rsidRDefault="001C4694" w:rsidP="001C4694">
      <w:pPr>
        <w:spacing w:before="120" w:after="280" w:afterAutospacing="1"/>
        <w:rPr>
          <w:rFonts w:ascii="Arial" w:hAnsi="Arial" w:cs="Arial"/>
        </w:rPr>
      </w:pPr>
      <w:r w:rsidRPr="001C4694">
        <w:rPr>
          <w:rFonts w:ascii="Arial" w:hAnsi="Arial" w:cs="Arial"/>
          <w:i/>
          <w:iCs/>
        </w:rPr>
        <w:t xml:space="preserve">Căn cứ Luật Ban hành văn bản quy phạm pháp luật của Hội đồng nhân dân, Ủy ban nhân dân ngày 03 tháng 12 năm </w:t>
      </w:r>
      <w:proofErr w:type="gramStart"/>
      <w:r w:rsidRPr="001C4694">
        <w:rPr>
          <w:rFonts w:ascii="Arial" w:hAnsi="Arial" w:cs="Arial"/>
          <w:i/>
          <w:iCs/>
        </w:rPr>
        <w:t>2004;</w:t>
      </w:r>
      <w:proofErr w:type="gramEnd"/>
    </w:p>
    <w:p w:rsidR="001C4694" w:rsidRPr="001C4694" w:rsidRDefault="001C4694" w:rsidP="001C4694">
      <w:pPr>
        <w:spacing w:before="120" w:after="280" w:afterAutospacing="1"/>
        <w:rPr>
          <w:rFonts w:ascii="Arial" w:hAnsi="Arial" w:cs="Arial"/>
        </w:rPr>
      </w:pPr>
      <w:r w:rsidRPr="001C4694">
        <w:rPr>
          <w:rFonts w:ascii="Arial" w:hAnsi="Arial" w:cs="Arial"/>
          <w:i/>
          <w:iCs/>
        </w:rPr>
        <w:t xml:space="preserve">Căn cứ Luật Đất </w:t>
      </w:r>
      <w:proofErr w:type="gramStart"/>
      <w:r w:rsidRPr="001C4694">
        <w:rPr>
          <w:rFonts w:ascii="Arial" w:hAnsi="Arial" w:cs="Arial"/>
          <w:i/>
          <w:iCs/>
        </w:rPr>
        <w:t>đai</w:t>
      </w:r>
      <w:proofErr w:type="gramEnd"/>
      <w:r w:rsidRPr="001C4694">
        <w:rPr>
          <w:rFonts w:ascii="Arial" w:hAnsi="Arial" w:cs="Arial"/>
          <w:i/>
          <w:iCs/>
        </w:rPr>
        <w:t xml:space="preserve"> ngày 29 tháng 11 năm 2013;</w:t>
      </w:r>
    </w:p>
    <w:p w:rsidR="001C4694" w:rsidRPr="001C4694" w:rsidRDefault="001C4694" w:rsidP="001C4694">
      <w:pPr>
        <w:spacing w:before="120" w:after="280" w:afterAutospacing="1"/>
        <w:rPr>
          <w:rFonts w:ascii="Arial" w:hAnsi="Arial" w:cs="Arial"/>
        </w:rPr>
      </w:pPr>
      <w:r w:rsidRPr="001C4694">
        <w:rPr>
          <w:rFonts w:ascii="Arial" w:hAnsi="Arial" w:cs="Arial"/>
          <w:i/>
          <w:iCs/>
        </w:rPr>
        <w:t>Căn cứ Nghị định số 43/2014/NĐ-CP ngày 15 tháng 05 năm 2014 của Chính phủ quy định chi tiết thi hành một số điều của Luật Đất đai;</w:t>
      </w:r>
    </w:p>
    <w:p w:rsidR="001C4694" w:rsidRPr="001C4694" w:rsidRDefault="001C4694" w:rsidP="001C4694">
      <w:pPr>
        <w:spacing w:before="120" w:after="280" w:afterAutospacing="1"/>
        <w:rPr>
          <w:rFonts w:ascii="Arial" w:hAnsi="Arial" w:cs="Arial"/>
        </w:rPr>
      </w:pPr>
      <w:r w:rsidRPr="001C4694">
        <w:rPr>
          <w:rFonts w:ascii="Arial" w:hAnsi="Arial" w:cs="Arial"/>
          <w:i/>
          <w:iCs/>
        </w:rPr>
        <w:t>Căn cứ Quyết định số 04/2008/QĐ-BXD ngày 03 tháng 4 năm 2008 của Bộ Xây dựng về việc ban hành: “Quy chuẩn kỹ thuật Quốc gia về Quy hoạch xây dựng”;</w:t>
      </w:r>
    </w:p>
    <w:p w:rsidR="001C4694" w:rsidRPr="001C4694" w:rsidRDefault="001C4694" w:rsidP="001C4694">
      <w:pPr>
        <w:spacing w:before="120" w:after="280" w:afterAutospacing="1"/>
        <w:rPr>
          <w:rFonts w:ascii="Arial" w:hAnsi="Arial" w:cs="Arial"/>
        </w:rPr>
      </w:pPr>
      <w:r w:rsidRPr="001C4694">
        <w:rPr>
          <w:rFonts w:ascii="Arial" w:hAnsi="Arial" w:cs="Arial"/>
          <w:i/>
          <w:iCs/>
        </w:rPr>
        <w:t>Căn cứ Quyết định số 32/2014/QĐ-UBND ngày 21/12/2014 của UBND tỉnh quy định diện tích tối thiểu được phép tách thửa đất đối với các loại đất trên địa bàn tỉnh Khánh Hòa;</w:t>
      </w:r>
    </w:p>
    <w:p w:rsidR="001C4694" w:rsidRPr="001C4694" w:rsidRDefault="001C4694" w:rsidP="001C4694">
      <w:pPr>
        <w:spacing w:before="120" w:after="280" w:afterAutospacing="1"/>
        <w:rPr>
          <w:rFonts w:ascii="Arial" w:hAnsi="Arial" w:cs="Arial"/>
        </w:rPr>
      </w:pPr>
      <w:r w:rsidRPr="001C4694">
        <w:rPr>
          <w:rFonts w:ascii="Arial" w:hAnsi="Arial" w:cs="Arial"/>
          <w:i/>
          <w:iCs/>
        </w:rPr>
        <w:lastRenderedPageBreak/>
        <w:t>Theo đề nghị của Sở Tài nguyên và Môi trường tại Văn bản số 1347/STNMT-CCQLĐĐ ngày 18 tháng 6 năm 2015,</w:t>
      </w:r>
    </w:p>
    <w:p w:rsidR="001C4694" w:rsidRPr="001C4694" w:rsidRDefault="001C4694" w:rsidP="001C4694">
      <w:pPr>
        <w:spacing w:before="120" w:after="280" w:afterAutospacing="1"/>
        <w:jc w:val="center"/>
        <w:rPr>
          <w:rFonts w:ascii="Arial" w:hAnsi="Arial" w:cs="Arial"/>
        </w:rPr>
      </w:pPr>
      <w:r w:rsidRPr="001C4694">
        <w:rPr>
          <w:rFonts w:ascii="Arial" w:hAnsi="Arial" w:cs="Arial"/>
          <w:b/>
          <w:bCs/>
        </w:rPr>
        <w:t>QUYẾT ĐỊNH:</w:t>
      </w:r>
    </w:p>
    <w:p w:rsidR="001C4694" w:rsidRPr="001C4694" w:rsidRDefault="001C4694" w:rsidP="001C4694">
      <w:pPr>
        <w:spacing w:before="120" w:after="280" w:afterAutospacing="1"/>
        <w:rPr>
          <w:rFonts w:ascii="Arial" w:hAnsi="Arial" w:cs="Arial"/>
        </w:rPr>
      </w:pPr>
      <w:proofErr w:type="gramStart"/>
      <w:r w:rsidRPr="001C4694">
        <w:rPr>
          <w:rFonts w:ascii="Arial" w:hAnsi="Arial" w:cs="Arial"/>
          <w:b/>
          <w:bCs/>
        </w:rPr>
        <w:t>Điều 1.</w:t>
      </w:r>
      <w:proofErr w:type="gramEnd"/>
      <w:r w:rsidRPr="001C4694">
        <w:rPr>
          <w:rFonts w:ascii="Arial" w:hAnsi="Arial" w:cs="Arial"/>
        </w:rPr>
        <w:t xml:space="preserve"> Điều chỉnh bổ sung nội dung tại khoản 2, Điều 7 của Quy định diện tích tối thiểu được phép tách thửa đất đối với các loại đất trên địa bàn tỉnh Khánh Hòa (ban hành kèm Quyết định số 32/2014/QĐ-UBND ngày 21/12/2014 của UBND tỉnh) như sau:</w:t>
      </w:r>
    </w:p>
    <w:p w:rsidR="001C4694" w:rsidRPr="001C4694" w:rsidRDefault="001C4694" w:rsidP="001C4694">
      <w:pPr>
        <w:spacing w:before="120" w:after="280" w:afterAutospacing="1"/>
        <w:rPr>
          <w:rFonts w:ascii="Arial" w:hAnsi="Arial" w:cs="Arial"/>
        </w:rPr>
      </w:pPr>
      <w:r w:rsidRPr="001C4694">
        <w:rPr>
          <w:rFonts w:ascii="Arial" w:hAnsi="Arial" w:cs="Arial"/>
          <w:i/>
          <w:iCs/>
        </w:rPr>
        <w:t xml:space="preserve">“2. Trường hợp thửa đất đủ điều kiện chuyển mục đích sử dụng sang đất ở, thì người sử dụng đất được thực hiện đồng thời việc chuyển mục đích và tách thửa phần diện tích xin chuyển mục đích sử dụng sẽ được tách thửa theo diện tích, kích thước cạnh tối thiểu đối với đất ở; đối với phần diện tích còn lại (không chuyển mục đích) phải đảm bảo điều kiện tách thửa theo quy định về diện tích và kích thước tối thiểu của loại đất đã được quy hoạch do cơ quan thẩm quyền phê duyệt. </w:t>
      </w:r>
      <w:proofErr w:type="gramStart"/>
      <w:r w:rsidRPr="001C4694">
        <w:rPr>
          <w:rFonts w:ascii="Arial" w:hAnsi="Arial" w:cs="Arial"/>
          <w:i/>
          <w:iCs/>
        </w:rPr>
        <w:t>Người sử dụng đất phải bố trí diện tích để làm đường đi vào các thửa đất rộng tối thiểu là 03m và phải được UBND cấp huyện phê duyệt”.</w:t>
      </w:r>
      <w:proofErr w:type="gramEnd"/>
    </w:p>
    <w:p w:rsidR="001C4694" w:rsidRPr="001C4694" w:rsidRDefault="001C4694" w:rsidP="001C4694">
      <w:pPr>
        <w:spacing w:before="120" w:after="280" w:afterAutospacing="1"/>
        <w:rPr>
          <w:rFonts w:ascii="Arial" w:hAnsi="Arial" w:cs="Arial"/>
        </w:rPr>
      </w:pPr>
      <w:proofErr w:type="gramStart"/>
      <w:r w:rsidRPr="001C4694">
        <w:rPr>
          <w:rFonts w:ascii="Arial" w:hAnsi="Arial" w:cs="Arial"/>
          <w:b/>
          <w:bCs/>
        </w:rPr>
        <w:t>Điều 2.</w:t>
      </w:r>
      <w:proofErr w:type="gramEnd"/>
      <w:r w:rsidRPr="001C4694">
        <w:rPr>
          <w:rFonts w:ascii="Arial" w:hAnsi="Arial" w:cs="Arial"/>
        </w:rPr>
        <w:t xml:space="preserve"> </w:t>
      </w:r>
      <w:proofErr w:type="gramStart"/>
      <w:r w:rsidRPr="001C4694">
        <w:rPr>
          <w:rFonts w:ascii="Arial" w:hAnsi="Arial" w:cs="Arial"/>
        </w:rPr>
        <w:t>Quyết định này có hiệu lực sau 10 ngày kể từ ngày ký.</w:t>
      </w:r>
      <w:proofErr w:type="gramEnd"/>
    </w:p>
    <w:p w:rsidR="001C4694" w:rsidRPr="001C4694" w:rsidRDefault="001C4694" w:rsidP="001C4694">
      <w:pPr>
        <w:spacing w:before="120" w:after="280" w:afterAutospacing="1"/>
        <w:rPr>
          <w:rFonts w:ascii="Arial" w:hAnsi="Arial" w:cs="Arial"/>
        </w:rPr>
      </w:pPr>
      <w:proofErr w:type="gramStart"/>
      <w:r w:rsidRPr="001C4694">
        <w:rPr>
          <w:rFonts w:ascii="Arial" w:hAnsi="Arial" w:cs="Arial"/>
          <w:b/>
          <w:bCs/>
        </w:rPr>
        <w:t>Điều 3.</w:t>
      </w:r>
      <w:proofErr w:type="gramEnd"/>
      <w:r w:rsidRPr="001C4694">
        <w:rPr>
          <w:rFonts w:ascii="Arial" w:hAnsi="Arial" w:cs="Arial"/>
          <w:b/>
          <w:bCs/>
        </w:rPr>
        <w:t xml:space="preserve"> </w:t>
      </w:r>
      <w:r w:rsidRPr="001C4694">
        <w:rPr>
          <w:rFonts w:ascii="Arial" w:hAnsi="Arial" w:cs="Arial"/>
        </w:rPr>
        <w:t>Chánh Văn phòng Ủy ban nhân dân tỉnh; Giám đốc các sở, ban, ngành Chủ tịch Ủy ban nhân dân các huyện, thị xã, thành phố; Thủ trưởng các đơn vị, tổ chức và hộ gia đình, cá nhân có liên quan chịu trách nhiệm thi hành Quyết địn</w:t>
      </w:r>
      <w:bookmarkStart w:id="0" w:name="_GoBack"/>
      <w:bookmarkEnd w:id="0"/>
      <w:r w:rsidRPr="001C4694">
        <w:rPr>
          <w:rFonts w:ascii="Arial" w:hAnsi="Arial" w:cs="Arial"/>
        </w:rPr>
        <w:t>h này./.</w:t>
      </w:r>
    </w:p>
    <w:p w:rsidR="001C4694" w:rsidRPr="001C4694" w:rsidRDefault="001C4694" w:rsidP="001C4694">
      <w:pPr>
        <w:tabs>
          <w:tab w:val="left" w:pos="3075"/>
        </w:tabs>
        <w:spacing w:before="120" w:after="280" w:afterAutospacing="1"/>
        <w:rPr>
          <w:rFonts w:ascii="Arial" w:hAnsi="Arial" w:cs="Arial"/>
        </w:rPr>
      </w:pPr>
      <w:r w:rsidRPr="001C4694">
        <w:rPr>
          <w:rFonts w:ascii="Arial" w:hAnsi="Arial" w:cs="Arial"/>
        </w:rPr>
        <w:t> </w:t>
      </w:r>
      <w:r w:rsidRPr="001C4694">
        <w:rPr>
          <w:rFonts w:ascii="Arial" w:hAnsi="Arial" w:cs="Arial"/>
        </w:rPr>
        <w:tab/>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C4694" w:rsidRPr="001C4694" w:rsidTr="002761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4694" w:rsidRPr="001C4694" w:rsidRDefault="001C4694" w:rsidP="0027617B">
            <w:pPr>
              <w:spacing w:before="120" w:after="280" w:afterAutospacing="1"/>
              <w:rPr>
                <w:rFonts w:ascii="Arial" w:hAnsi="Arial" w:cs="Arial"/>
              </w:rPr>
            </w:pPr>
            <w:r w:rsidRPr="001C4694">
              <w:rPr>
                <w:rFonts w:ascii="Arial" w:hAnsi="Arial" w:cs="Arial"/>
              </w:rPr>
              <w:t> </w:t>
            </w:r>
          </w:p>
          <w:p w:rsidR="001C4694" w:rsidRPr="001C4694" w:rsidRDefault="001C4694" w:rsidP="0027617B">
            <w:pPr>
              <w:spacing w:before="120"/>
              <w:rPr>
                <w:rFonts w:ascii="Arial" w:hAnsi="Arial" w:cs="Arial"/>
              </w:rPr>
            </w:pPr>
            <w:r w:rsidRPr="001C4694">
              <w:rPr>
                <w:rFonts w:ascii="Arial" w:hAnsi="Arial" w:cs="Arial"/>
                <w:b/>
                <w:bCs/>
                <w:i/>
                <w:iCs/>
              </w:rPr>
              <w:t>Nơi nhận:</w:t>
            </w:r>
            <w:r w:rsidRPr="001C4694">
              <w:rPr>
                <w:rFonts w:ascii="Arial" w:hAnsi="Arial" w:cs="Arial"/>
                <w:b/>
                <w:bCs/>
                <w:i/>
                <w:iCs/>
              </w:rPr>
              <w:br/>
            </w:r>
            <w:r w:rsidRPr="001C4694">
              <w:rPr>
                <w:rFonts w:ascii="Arial" w:hAnsi="Arial" w:cs="Arial"/>
              </w:rPr>
              <w:t>- Như Điều 3;</w:t>
            </w:r>
            <w:r w:rsidRPr="001C4694">
              <w:rPr>
                <w:rFonts w:ascii="Arial" w:hAnsi="Arial" w:cs="Arial"/>
              </w:rPr>
              <w:br/>
              <w:t>- Ủy ban thường vụ Quốc hội;</w:t>
            </w:r>
            <w:r w:rsidRPr="001C4694">
              <w:rPr>
                <w:rFonts w:ascii="Arial" w:hAnsi="Arial" w:cs="Arial"/>
              </w:rPr>
              <w:br/>
              <w:t>- Văn phòng Chính phủ;</w:t>
            </w:r>
            <w:r w:rsidRPr="001C4694">
              <w:rPr>
                <w:rFonts w:ascii="Arial" w:hAnsi="Arial" w:cs="Arial"/>
              </w:rPr>
              <w:br/>
              <w:t>- Bộ Tài nguyên và Môi trường;</w:t>
            </w:r>
            <w:r w:rsidRPr="001C4694">
              <w:rPr>
                <w:rFonts w:ascii="Arial" w:hAnsi="Arial" w:cs="Arial"/>
              </w:rPr>
              <w:br/>
              <w:t>- Cục kiểm tra văn bản - Bộ Tư pháp;</w:t>
            </w:r>
            <w:r w:rsidRPr="001C4694">
              <w:rPr>
                <w:rFonts w:ascii="Arial" w:hAnsi="Arial" w:cs="Arial"/>
              </w:rPr>
              <w:br/>
            </w:r>
            <w:r w:rsidRPr="001C4694">
              <w:rPr>
                <w:rFonts w:ascii="Arial" w:hAnsi="Arial" w:cs="Arial"/>
              </w:rPr>
              <w:lastRenderedPageBreak/>
              <w:t>- Thường trực Tỉnh ủy;</w:t>
            </w:r>
            <w:r w:rsidRPr="001C4694">
              <w:rPr>
                <w:rFonts w:ascii="Arial" w:hAnsi="Arial" w:cs="Arial"/>
              </w:rPr>
              <w:br/>
              <w:t>- Thường trực HĐND tỉnh;</w:t>
            </w:r>
            <w:r w:rsidRPr="001C4694">
              <w:rPr>
                <w:rFonts w:ascii="Arial" w:hAnsi="Arial" w:cs="Arial"/>
              </w:rPr>
              <w:br/>
              <w:t>- UBMTTQ Việt Nam tỉnh;</w:t>
            </w:r>
            <w:r w:rsidRPr="001C4694">
              <w:rPr>
                <w:rFonts w:ascii="Arial" w:hAnsi="Arial" w:cs="Arial"/>
              </w:rPr>
              <w:br/>
              <w:t>- Đoàn Đại biểu quốc hội tỉnh;</w:t>
            </w:r>
            <w:r w:rsidRPr="001C4694">
              <w:rPr>
                <w:rFonts w:ascii="Arial" w:hAnsi="Arial" w:cs="Arial"/>
              </w:rPr>
              <w:br/>
              <w:t>- Các đoàn thể chính trị, xã hội tỉnh;</w:t>
            </w:r>
            <w:r w:rsidRPr="001C4694">
              <w:rPr>
                <w:rFonts w:ascii="Arial" w:hAnsi="Arial" w:cs="Arial"/>
              </w:rPr>
              <w:br/>
              <w:t>- Đài phát thanh, truyền hình Khánh Hòa;</w:t>
            </w:r>
            <w:r w:rsidRPr="001C4694">
              <w:rPr>
                <w:rFonts w:ascii="Arial" w:hAnsi="Arial" w:cs="Arial"/>
              </w:rPr>
              <w:br/>
              <w:t>- Trung tâm Công báo Khánh Hòa;</w:t>
            </w:r>
            <w:r w:rsidRPr="001C4694">
              <w:rPr>
                <w:rFonts w:ascii="Arial" w:hAnsi="Arial" w:cs="Arial"/>
              </w:rPr>
              <w:br/>
              <w:t>- Sở Tư pháp;</w:t>
            </w:r>
            <w:r w:rsidRPr="001C4694">
              <w:rPr>
                <w:rFonts w:ascii="Arial" w:hAnsi="Arial" w:cs="Arial"/>
              </w:rPr>
              <w:br/>
              <w:t>- Báo Khánh Hòa;</w:t>
            </w:r>
            <w:r w:rsidRPr="001C4694">
              <w:rPr>
                <w:rFonts w:ascii="Arial" w:hAnsi="Arial" w:cs="Arial"/>
              </w:rPr>
              <w:br/>
              <w:t>- Lưu: VT, BN, MN, HgP, VC, CN.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4694" w:rsidRPr="001C4694" w:rsidRDefault="001C4694" w:rsidP="0027617B">
            <w:pPr>
              <w:spacing w:before="120"/>
              <w:jc w:val="center"/>
              <w:rPr>
                <w:rFonts w:ascii="Arial" w:hAnsi="Arial" w:cs="Arial"/>
              </w:rPr>
            </w:pPr>
            <w:r w:rsidRPr="001C4694">
              <w:rPr>
                <w:rFonts w:ascii="Arial" w:hAnsi="Arial" w:cs="Arial"/>
                <w:b/>
                <w:bCs/>
              </w:rPr>
              <w:lastRenderedPageBreak/>
              <w:t>TM. ỦY BAN NHÂN DÂN</w:t>
            </w:r>
            <w:r w:rsidRPr="001C4694">
              <w:rPr>
                <w:rFonts w:ascii="Arial" w:hAnsi="Arial" w:cs="Arial"/>
                <w:b/>
                <w:bCs/>
              </w:rPr>
              <w:br/>
              <w:t>KT. CHỦ TỊCH</w:t>
            </w:r>
            <w:r w:rsidRPr="001C4694">
              <w:rPr>
                <w:rFonts w:ascii="Arial" w:hAnsi="Arial" w:cs="Arial"/>
                <w:b/>
                <w:bCs/>
              </w:rPr>
              <w:br/>
              <w:t>PHÓ CHỦ TỊCH</w:t>
            </w:r>
            <w:r w:rsidRPr="001C4694">
              <w:rPr>
                <w:rFonts w:ascii="Arial" w:hAnsi="Arial" w:cs="Arial"/>
                <w:b/>
                <w:bCs/>
              </w:rPr>
              <w:br/>
            </w:r>
            <w:r w:rsidRPr="001C4694">
              <w:rPr>
                <w:rFonts w:ascii="Arial" w:hAnsi="Arial" w:cs="Arial"/>
                <w:b/>
                <w:bCs/>
              </w:rPr>
              <w:br/>
            </w:r>
            <w:r w:rsidRPr="001C4694">
              <w:rPr>
                <w:rFonts w:ascii="Arial" w:hAnsi="Arial" w:cs="Arial"/>
                <w:b/>
                <w:bCs/>
              </w:rPr>
              <w:br/>
            </w:r>
            <w:r w:rsidRPr="001C4694">
              <w:rPr>
                <w:rFonts w:ascii="Arial" w:hAnsi="Arial" w:cs="Arial"/>
                <w:b/>
                <w:bCs/>
              </w:rPr>
              <w:br/>
            </w:r>
            <w:r w:rsidRPr="001C4694">
              <w:rPr>
                <w:rFonts w:ascii="Arial" w:hAnsi="Arial" w:cs="Arial"/>
                <w:b/>
                <w:bCs/>
              </w:rPr>
              <w:br/>
              <w:t>Lê Đức Vinh</w:t>
            </w:r>
          </w:p>
        </w:tc>
      </w:tr>
    </w:tbl>
    <w:p w:rsidR="001C4694" w:rsidRPr="001C4694" w:rsidRDefault="001C4694" w:rsidP="001C4694">
      <w:pPr>
        <w:spacing w:before="120" w:after="280" w:afterAutospacing="1"/>
        <w:rPr>
          <w:rFonts w:ascii="Arial" w:hAnsi="Arial" w:cs="Arial"/>
        </w:rPr>
      </w:pPr>
      <w:r w:rsidRPr="001C4694">
        <w:rPr>
          <w:rFonts w:ascii="Arial" w:hAnsi="Arial" w:cs="Arial"/>
        </w:rPr>
        <w:lastRenderedPageBreak/>
        <w:t> </w:t>
      </w:r>
    </w:p>
    <w:p w:rsidR="00C04DA8" w:rsidRPr="001C4694" w:rsidRDefault="00A77EE3" w:rsidP="001C4694">
      <w:pPr>
        <w:rPr>
          <w:rFonts w:ascii="Arial" w:hAnsi="Arial" w:cs="Arial"/>
        </w:rPr>
      </w:pPr>
    </w:p>
    <w:sectPr w:rsidR="00C04DA8" w:rsidRPr="001C46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E3" w:rsidRDefault="00A77EE3" w:rsidP="0033339E">
      <w:r>
        <w:separator/>
      </w:r>
    </w:p>
  </w:endnote>
  <w:endnote w:type="continuationSeparator" w:id="0">
    <w:p w:rsidR="00A77EE3" w:rsidRDefault="00A77EE3"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E3" w:rsidRDefault="00A77EE3" w:rsidP="0033339E">
      <w:r>
        <w:separator/>
      </w:r>
    </w:p>
  </w:footnote>
  <w:footnote w:type="continuationSeparator" w:id="0">
    <w:p w:rsidR="00A77EE3" w:rsidRDefault="00A77EE3"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33339E"/>
    <w:rsid w:val="003D1D1F"/>
    <w:rsid w:val="008C3472"/>
    <w:rsid w:val="00922555"/>
    <w:rsid w:val="00985A4B"/>
    <w:rsid w:val="00A77EE3"/>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2018-04-22T08:25:00Z</dcterms:created>
  <dcterms:modified xsi:type="dcterms:W3CDTF">2018-04-22T08:25:00Z</dcterms:modified>
</cp:coreProperties>
</file>