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41"/>
        <w:gridCol w:w="1139"/>
        <w:gridCol w:w="4480"/>
      </w:tblGrid>
      <w:tr w:rsidR="000C2CA9" w:rsidRPr="000C2CA9" w:rsidTr="000C2CA9">
        <w:trPr>
          <w:tblCellSpacing w:w="15" w:type="dxa"/>
        </w:trPr>
        <w:tc>
          <w:tcPr>
            <w:tcW w:w="2000" w:type="pct"/>
            <w:hideMark/>
          </w:tcPr>
          <w:p w:rsidR="000C2CA9" w:rsidRPr="000C2CA9" w:rsidRDefault="000C2CA9" w:rsidP="000C2CA9">
            <w:pPr>
              <w:spacing w:after="0" w:line="240" w:lineRule="auto"/>
              <w:jc w:val="center"/>
              <w:rPr>
                <w:rFonts w:ascii="Times New Roman" w:eastAsia="Times New Roman" w:hAnsi="Times New Roman" w:cs="Times New Roman"/>
                <w:color w:val="000000"/>
                <w:sz w:val="26"/>
                <w:szCs w:val="26"/>
              </w:rPr>
            </w:pPr>
            <w:r w:rsidRPr="000C2CA9">
              <w:rPr>
                <w:rFonts w:ascii="Times New Roman" w:eastAsia="Times New Roman" w:hAnsi="Times New Roman" w:cs="Times New Roman"/>
                <w:b/>
                <w:bCs/>
                <w:color w:val="000000"/>
                <w:sz w:val="26"/>
                <w:szCs w:val="26"/>
              </w:rPr>
              <w:t>BỘ QUỐC PHÒNG - BỘ TÀI CHÍNH</w:t>
            </w:r>
          </w:p>
          <w:p w:rsidR="000C2CA9" w:rsidRPr="000C2CA9" w:rsidRDefault="000C2CA9" w:rsidP="000C2CA9">
            <w:pPr>
              <w:spacing w:after="0" w:line="240" w:lineRule="auto"/>
              <w:jc w:val="center"/>
              <w:rPr>
                <w:rFonts w:ascii="Times New Roman" w:eastAsia="Times New Roman" w:hAnsi="Times New Roman" w:cs="Times New Roman"/>
                <w:color w:val="000000"/>
                <w:sz w:val="26"/>
                <w:szCs w:val="26"/>
              </w:rPr>
            </w:pPr>
            <w:r w:rsidRPr="000C2CA9">
              <w:rPr>
                <w:rFonts w:ascii="Times New Roman" w:eastAsia="Times New Roman" w:hAnsi="Times New Roman" w:cs="Times New Roman"/>
                <w:b/>
                <w:bCs/>
                <w:color w:val="000000"/>
                <w:sz w:val="26"/>
                <w:szCs w:val="26"/>
              </w:rPr>
              <w:t>Số: 99/2012/TTLT-BQP-BTC</w:t>
            </w:r>
          </w:p>
        </w:tc>
        <w:tc>
          <w:tcPr>
            <w:tcW w:w="600" w:type="pct"/>
            <w:vAlign w:val="center"/>
            <w:hideMark/>
          </w:tcPr>
          <w:p w:rsidR="000C2CA9" w:rsidRPr="000C2CA9" w:rsidRDefault="000C2CA9" w:rsidP="000C2CA9">
            <w:pPr>
              <w:spacing w:after="0" w:line="240" w:lineRule="auto"/>
              <w:jc w:val="center"/>
              <w:rPr>
                <w:rFonts w:ascii="Times New Roman" w:eastAsia="Times New Roman" w:hAnsi="Times New Roman" w:cs="Times New Roman"/>
                <w:color w:val="000000"/>
                <w:sz w:val="26"/>
                <w:szCs w:val="26"/>
              </w:rPr>
            </w:pPr>
          </w:p>
        </w:tc>
        <w:tc>
          <w:tcPr>
            <w:tcW w:w="2400" w:type="pct"/>
            <w:hideMark/>
          </w:tcPr>
          <w:p w:rsidR="000C2CA9" w:rsidRPr="000C2CA9" w:rsidRDefault="000C2CA9" w:rsidP="000C2CA9">
            <w:pPr>
              <w:spacing w:after="0" w:line="240" w:lineRule="auto"/>
              <w:jc w:val="center"/>
              <w:rPr>
                <w:rFonts w:ascii="Times New Roman" w:eastAsia="Times New Roman" w:hAnsi="Times New Roman" w:cs="Times New Roman"/>
                <w:color w:val="000000"/>
                <w:sz w:val="26"/>
                <w:szCs w:val="26"/>
              </w:rPr>
            </w:pPr>
            <w:r w:rsidRPr="000C2CA9">
              <w:rPr>
                <w:rFonts w:ascii="Times New Roman" w:eastAsia="Times New Roman" w:hAnsi="Times New Roman" w:cs="Times New Roman"/>
                <w:b/>
                <w:bCs/>
                <w:color w:val="000000"/>
                <w:sz w:val="26"/>
                <w:szCs w:val="26"/>
              </w:rPr>
              <w:t>CỘNG HOÀ XÃ HỘI CHỦ NGHĨA VIỆT NAM</w:t>
            </w:r>
          </w:p>
          <w:p w:rsidR="000C2CA9" w:rsidRPr="000C2CA9" w:rsidRDefault="000C2CA9" w:rsidP="000C2CA9">
            <w:pPr>
              <w:spacing w:after="0" w:line="240" w:lineRule="auto"/>
              <w:jc w:val="center"/>
              <w:rPr>
                <w:rFonts w:ascii="Times New Roman" w:eastAsia="Times New Roman" w:hAnsi="Times New Roman" w:cs="Times New Roman"/>
                <w:color w:val="000000"/>
                <w:sz w:val="26"/>
                <w:szCs w:val="26"/>
              </w:rPr>
            </w:pPr>
            <w:r w:rsidRPr="000C2CA9">
              <w:rPr>
                <w:rFonts w:ascii="Times New Roman" w:eastAsia="Times New Roman" w:hAnsi="Times New Roman" w:cs="Times New Roman"/>
                <w:b/>
                <w:bCs/>
                <w:color w:val="000000"/>
                <w:sz w:val="26"/>
                <w:szCs w:val="26"/>
              </w:rPr>
              <w:t>Độc lập - Tự do - Hạnh phúc</w:t>
            </w:r>
          </w:p>
          <w:p w:rsidR="000C2CA9" w:rsidRPr="000C2CA9" w:rsidRDefault="000C2CA9" w:rsidP="000C2CA9">
            <w:pPr>
              <w:spacing w:after="0" w:line="240" w:lineRule="auto"/>
              <w:jc w:val="right"/>
              <w:rPr>
                <w:rFonts w:ascii="Times New Roman" w:eastAsia="Times New Roman" w:hAnsi="Times New Roman" w:cs="Times New Roman"/>
                <w:color w:val="000000"/>
                <w:sz w:val="26"/>
                <w:szCs w:val="26"/>
              </w:rPr>
            </w:pPr>
            <w:r w:rsidRPr="000C2CA9">
              <w:rPr>
                <w:rFonts w:ascii="Times New Roman" w:eastAsia="Times New Roman" w:hAnsi="Times New Roman" w:cs="Times New Roman"/>
                <w:i/>
                <w:iCs/>
                <w:color w:val="000000"/>
                <w:sz w:val="26"/>
                <w:szCs w:val="26"/>
              </w:rPr>
              <w:t>Hà Nội, ngày 28 tháng 08 năm 2012</w:t>
            </w:r>
            <w:r w:rsidRPr="000C2CA9">
              <w:rPr>
                <w:rFonts w:ascii="Times New Roman" w:eastAsia="Times New Roman" w:hAnsi="Times New Roman" w:cs="Times New Roman"/>
                <w:color w:val="000000"/>
                <w:sz w:val="26"/>
                <w:szCs w:val="26"/>
              </w:rPr>
              <w:t>                          </w:t>
            </w:r>
          </w:p>
        </w:tc>
      </w:tr>
      <w:tr w:rsidR="000C2CA9" w:rsidRPr="000C2CA9" w:rsidTr="000C2CA9">
        <w:trPr>
          <w:tblCellSpacing w:w="15" w:type="dxa"/>
        </w:trPr>
        <w:tc>
          <w:tcPr>
            <w:tcW w:w="0" w:type="auto"/>
            <w:gridSpan w:val="3"/>
            <w:vAlign w:val="center"/>
            <w:hideMark/>
          </w:tcPr>
          <w:p w:rsidR="000C2CA9" w:rsidRPr="000C2CA9" w:rsidRDefault="000C2CA9" w:rsidP="000C2CA9">
            <w:pPr>
              <w:spacing w:after="0" w:line="240" w:lineRule="auto"/>
              <w:jc w:val="right"/>
              <w:rPr>
                <w:rFonts w:ascii="Times New Roman" w:eastAsia="Times New Roman" w:hAnsi="Times New Roman" w:cs="Times New Roman"/>
                <w:color w:val="000000"/>
                <w:sz w:val="26"/>
                <w:szCs w:val="26"/>
              </w:rPr>
            </w:pPr>
          </w:p>
        </w:tc>
      </w:tr>
      <w:tr w:rsidR="000C2CA9" w:rsidRPr="000C2CA9" w:rsidTr="000C2CA9">
        <w:trPr>
          <w:tblCellSpacing w:w="15" w:type="dxa"/>
        </w:trPr>
        <w:tc>
          <w:tcPr>
            <w:tcW w:w="0" w:type="auto"/>
            <w:gridSpan w:val="3"/>
            <w:vAlign w:val="center"/>
            <w:hideMark/>
          </w:tcPr>
          <w:p w:rsidR="000C2CA9" w:rsidRPr="000C2CA9" w:rsidRDefault="000C2CA9" w:rsidP="000C2CA9">
            <w:pPr>
              <w:spacing w:before="120" w:after="120" w:line="240" w:lineRule="auto"/>
              <w:jc w:val="center"/>
              <w:rPr>
                <w:rFonts w:ascii="Times New Roman" w:eastAsia="Times New Roman" w:hAnsi="Times New Roman" w:cs="Times New Roman"/>
                <w:color w:val="000000"/>
                <w:sz w:val="26"/>
                <w:szCs w:val="26"/>
              </w:rPr>
            </w:pPr>
            <w:r w:rsidRPr="000C2CA9">
              <w:rPr>
                <w:rFonts w:ascii="Times New Roman" w:eastAsia="Times New Roman" w:hAnsi="Times New Roman" w:cs="Times New Roman"/>
                <w:b/>
                <w:bCs/>
                <w:color w:val="000000"/>
                <w:sz w:val="26"/>
                <w:szCs w:val="26"/>
              </w:rPr>
              <w:t>THÔNG TƯ LIÊN TỊCH</w:t>
            </w:r>
          </w:p>
          <w:p w:rsidR="000C2CA9" w:rsidRPr="000C2CA9" w:rsidRDefault="000C2CA9" w:rsidP="000C2CA9">
            <w:pPr>
              <w:spacing w:after="0" w:line="240" w:lineRule="auto"/>
              <w:jc w:val="center"/>
              <w:rPr>
                <w:rFonts w:ascii="Times New Roman" w:eastAsia="Times New Roman" w:hAnsi="Times New Roman" w:cs="Times New Roman"/>
                <w:color w:val="000000"/>
                <w:sz w:val="26"/>
                <w:szCs w:val="26"/>
              </w:rPr>
            </w:pPr>
            <w:r w:rsidRPr="000C2CA9">
              <w:rPr>
                <w:rFonts w:ascii="Times New Roman" w:eastAsia="Times New Roman" w:hAnsi="Times New Roman" w:cs="Times New Roman"/>
                <w:b/>
                <w:bCs/>
                <w:color w:val="000000"/>
                <w:sz w:val="26"/>
                <w:szCs w:val="26"/>
              </w:rPr>
              <w:t>Hướng dẫn điều chỉnh trợ cấp hàng tháng đối với quân nhân, người làm công tác cơ yếu</w:t>
            </w:r>
          </w:p>
          <w:p w:rsidR="000C2CA9" w:rsidRPr="000C2CA9" w:rsidRDefault="000C2CA9" w:rsidP="000C2CA9">
            <w:pPr>
              <w:spacing w:after="0" w:line="240" w:lineRule="auto"/>
              <w:jc w:val="center"/>
              <w:rPr>
                <w:rFonts w:ascii="Times New Roman" w:eastAsia="Times New Roman" w:hAnsi="Times New Roman" w:cs="Times New Roman"/>
                <w:color w:val="000000"/>
                <w:sz w:val="26"/>
                <w:szCs w:val="26"/>
              </w:rPr>
            </w:pPr>
            <w:r w:rsidRPr="000C2CA9">
              <w:rPr>
                <w:rFonts w:ascii="Times New Roman" w:eastAsia="Times New Roman" w:hAnsi="Times New Roman" w:cs="Times New Roman"/>
                <w:b/>
                <w:bCs/>
                <w:color w:val="000000"/>
                <w:sz w:val="26"/>
                <w:szCs w:val="26"/>
              </w:rPr>
              <w:t>hưởng lương như đối với quân nhân, công an nhân dân đang hưởng chế độ trợ cấp hàng tháng</w:t>
            </w:r>
          </w:p>
          <w:p w:rsidR="000C2CA9" w:rsidRPr="000C2CA9" w:rsidRDefault="000C2CA9" w:rsidP="000C2CA9">
            <w:pPr>
              <w:spacing w:after="0" w:line="240" w:lineRule="auto"/>
              <w:jc w:val="center"/>
              <w:rPr>
                <w:rFonts w:ascii="Times New Roman" w:eastAsia="Times New Roman" w:hAnsi="Times New Roman" w:cs="Times New Roman"/>
                <w:color w:val="000000"/>
                <w:sz w:val="26"/>
                <w:szCs w:val="26"/>
              </w:rPr>
            </w:pPr>
            <w:r w:rsidRPr="000C2CA9">
              <w:rPr>
                <w:rFonts w:ascii="Times New Roman" w:eastAsia="Times New Roman" w:hAnsi="Times New Roman" w:cs="Times New Roman"/>
                <w:b/>
                <w:bCs/>
                <w:color w:val="000000"/>
                <w:sz w:val="26"/>
                <w:szCs w:val="26"/>
              </w:rPr>
              <w:t>_______________________________</w:t>
            </w:r>
          </w:p>
          <w:p w:rsidR="000C2CA9" w:rsidRPr="000C2CA9" w:rsidRDefault="000C2CA9" w:rsidP="000C2CA9">
            <w:pPr>
              <w:spacing w:after="0" w:line="320" w:lineRule="atLeast"/>
              <w:ind w:firstLine="567"/>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i/>
                <w:iCs/>
                <w:color w:val="000000"/>
                <w:sz w:val="26"/>
                <w:szCs w:val="26"/>
              </w:rPr>
              <w:t> </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i/>
                <w:iCs/>
                <w:color w:val="000000"/>
                <w:sz w:val="26"/>
                <w:szCs w:val="26"/>
              </w:rPr>
              <w:t>Căn cứ Nghị định số 104/2008/NĐ-CP ngày 16 tháng 9 năm 2008 của Chính phủ quy định chức năng, nhiệm vụ, quyền hạn và cơ cấu tổ chức của Bộ Quốc phòng;</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i/>
                <w:iCs/>
                <w:color w:val="000000"/>
                <w:sz w:val="26"/>
                <w:szCs w:val="26"/>
              </w:rPr>
              <w:t>Căn cứ Nghị định số 118/2008/NĐ-CP ngày 27 tháng 11 năm 2008 của Chính phủ quy định chức năng, nhiệm vụ, quyền hạn và cơ cấu tổ chức của Bộ Tài chính;</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i/>
                <w:iCs/>
                <w:color w:val="000000"/>
                <w:sz w:val="26"/>
                <w:szCs w:val="26"/>
              </w:rPr>
              <w:t>Căn cứ Khoản 3 Điều 4 Nghị định số 35/2012/NĐ-CP ngày 18 tháng 4 năm 2012 của Chính phủ điều chỉnh lương hưu, trợ cấp bảo hiểm xã hội và trợ cấp hàng tháng đối với cán bộ xã đã nghỉ việc (Nghị định số 35/2012/NĐ-CP);</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i/>
                <w:iCs/>
                <w:color w:val="000000"/>
                <w:sz w:val="26"/>
                <w:szCs w:val="26"/>
              </w:rPr>
              <w:t>Căn cứ Quyết định số 142/2008/QĐ-TTg ngày 27 tháng 10 năm 2008 của Thủ tướng Chính phủ về thực hiện chế độ đối với quân nhân tham gia kháng chiến chống Mỹ cứu nước có dưới 20 năm công tác trong quân đội đã phục viên, xuất ngũ về địa phương (Quyết định số 142/2008/QĐ-TTg);</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i/>
                <w:iCs/>
                <w:color w:val="000000"/>
                <w:sz w:val="26"/>
                <w:szCs w:val="26"/>
              </w:rPr>
              <w:t>Căn cứ Quyết định số 38/2010/QĐ-TTg ngày 06 tháng 5 năm 2010 của Thủ tướng Chính phủ về việc sửa đổi, bổ sung Quyết định số 142/2008/QĐ-TTg ngày 27 tháng 10 năm 2008 của Thủ tướng Chính phủ về thực hiện chế độ đối với quân nhân tham gia kháng chiến chống Mỹ cứu nước có dưới 20 năm công tác trong quân đội đã phục viên, xuất ngũ về địa phương (Quyết định số 38/2010/QĐ-TTg);</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i/>
                <w:iCs/>
                <w:color w:val="000000"/>
                <w:sz w:val="26"/>
                <w:szCs w:val="26"/>
              </w:rPr>
              <w:t>Căn cứ Quyết định số 62/2011/QĐ-TTg ngày 09 tháng 11 năm 2011 của Thủ tướng Chính phủ về chế độ, chính sách đối với đối tượng tham gia chiến tranh bảo vệ Tổ quốc, làm nhiệm vụ quốc tế ở Cam-pu-chi-a, giúp bạn Lào sau ngày 30 tháng 4 năm 1975 đã phục viên, xuất ngũ, thôi việc (Quyết định số 62/2011/QĐ-TTg);</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i/>
                <w:iCs/>
                <w:color w:val="000000"/>
                <w:sz w:val="26"/>
                <w:szCs w:val="26"/>
              </w:rPr>
              <w:lastRenderedPageBreak/>
              <w:t>Bộ trưởng Bộ Quốc phòng, Bộ trưởng Bộ Tài chính ban hành Thông tư liên tịch hướng dẫn điều chỉnh trợ cấp hàng tháng đối với quân nhân, người làm công tác cơ yếu hưởng lương như đối với quân nhân, công an nhân dân đang hưởng chế độ trợ cấp hàng tháng,</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b/>
                <w:bCs/>
                <w:color w:val="000000"/>
                <w:sz w:val="26"/>
                <w:szCs w:val="26"/>
              </w:rPr>
              <w:t>Điều 1. Phạm vi điều chỉnh, đối tượng áp dụng</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t>Thông tư này hướng dẫn điều chỉnh mức trợ cấp hàng tháng đối với các đối tượng sau đây:</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t>1. Quân nhân đang hưởng chế độ trợ cấp hàng tháng theo quy định tại Quyết định số 142/2008/QĐ-TTg, Quyết định số 38/2010/QĐ-TTg.</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t>2. Quân nhân, người làm công tác cơ yếu hưởng lương như đối với quân nhân, công an nhân dân đang hưởng chế độ trợ cấp hàng tháng theo quy định tại Quyết định số 62/2011/QĐ-TTg.</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b/>
                <w:bCs/>
                <w:color w:val="000000"/>
                <w:sz w:val="26"/>
                <w:szCs w:val="26"/>
              </w:rPr>
              <w:t>Điều 2. Thời điểm và mức điều chỉnh</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t>1. Từ ngày 01 tháng 5 năm 2012, tăng thêm 26,5% mức trợ cấp hàng tháng đối với đối tượng hướng dẫn tại Điều 1 Thông tư này.</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t>Công thức điều chỉnh:</w:t>
            </w:r>
          </w:p>
          <w:tbl>
            <w:tblPr>
              <w:tblW w:w="0" w:type="auto"/>
              <w:tblCellMar>
                <w:left w:w="0" w:type="dxa"/>
                <w:right w:w="0" w:type="dxa"/>
              </w:tblCellMar>
              <w:tblLook w:val="04A0" w:firstRow="1" w:lastRow="0" w:firstColumn="1" w:lastColumn="0" w:noHBand="0" w:noVBand="1"/>
            </w:tblPr>
            <w:tblGrid>
              <w:gridCol w:w="3694"/>
              <w:gridCol w:w="374"/>
              <w:gridCol w:w="3360"/>
              <w:gridCol w:w="480"/>
              <w:gridCol w:w="958"/>
            </w:tblGrid>
            <w:tr w:rsidR="000C2CA9" w:rsidRPr="000C2CA9" w:rsidTr="000C2CA9">
              <w:tc>
                <w:tcPr>
                  <w:tcW w:w="3694" w:type="dxa"/>
                  <w:tcMar>
                    <w:top w:w="0" w:type="dxa"/>
                    <w:left w:w="108" w:type="dxa"/>
                    <w:bottom w:w="0" w:type="dxa"/>
                    <w:right w:w="108" w:type="dxa"/>
                  </w:tcMar>
                  <w:vAlign w:val="center"/>
                  <w:hideMark/>
                </w:tcPr>
                <w:p w:rsidR="000C2CA9" w:rsidRPr="000C2CA9" w:rsidRDefault="000C2CA9" w:rsidP="000C2CA9">
                  <w:pPr>
                    <w:spacing w:before="120" w:after="100" w:afterAutospacing="1" w:line="240" w:lineRule="auto"/>
                    <w:jc w:val="center"/>
                    <w:rPr>
                      <w:rFonts w:ascii="Times New Roman" w:eastAsia="Times New Roman" w:hAnsi="Times New Roman" w:cs="Times New Roman"/>
                      <w:sz w:val="26"/>
                      <w:szCs w:val="26"/>
                    </w:rPr>
                  </w:pPr>
                  <w:r w:rsidRPr="000C2CA9">
                    <w:rPr>
                      <w:rFonts w:ascii="Times New Roman" w:eastAsia="Times New Roman" w:hAnsi="Times New Roman" w:cs="Times New Roman"/>
                      <w:sz w:val="26"/>
                      <w:szCs w:val="26"/>
                    </w:rPr>
                    <w:t>Mức trợ cấp hàng tháng được hưởng từ ngày 01/5/2012</w:t>
                  </w:r>
                </w:p>
              </w:tc>
              <w:tc>
                <w:tcPr>
                  <w:tcW w:w="374" w:type="dxa"/>
                  <w:tcMar>
                    <w:top w:w="0" w:type="dxa"/>
                    <w:left w:w="108" w:type="dxa"/>
                    <w:bottom w:w="0" w:type="dxa"/>
                    <w:right w:w="108" w:type="dxa"/>
                  </w:tcMar>
                  <w:vAlign w:val="center"/>
                  <w:hideMark/>
                </w:tcPr>
                <w:p w:rsidR="000C2CA9" w:rsidRPr="000C2CA9" w:rsidRDefault="000C2CA9" w:rsidP="000C2CA9">
                  <w:pPr>
                    <w:spacing w:before="120" w:after="100" w:afterAutospacing="1" w:line="240" w:lineRule="auto"/>
                    <w:jc w:val="center"/>
                    <w:rPr>
                      <w:rFonts w:ascii="Times New Roman" w:eastAsia="Times New Roman" w:hAnsi="Times New Roman" w:cs="Times New Roman"/>
                      <w:sz w:val="26"/>
                      <w:szCs w:val="26"/>
                    </w:rPr>
                  </w:pPr>
                  <w:r w:rsidRPr="000C2CA9">
                    <w:rPr>
                      <w:rFonts w:ascii="Times New Roman" w:eastAsia="Times New Roman" w:hAnsi="Times New Roman" w:cs="Times New Roman"/>
                      <w:sz w:val="26"/>
                      <w:szCs w:val="26"/>
                    </w:rPr>
                    <w:t>=</w:t>
                  </w:r>
                </w:p>
              </w:tc>
              <w:tc>
                <w:tcPr>
                  <w:tcW w:w="3360" w:type="dxa"/>
                  <w:tcMar>
                    <w:top w:w="0" w:type="dxa"/>
                    <w:left w:w="108" w:type="dxa"/>
                    <w:bottom w:w="0" w:type="dxa"/>
                    <w:right w:w="108" w:type="dxa"/>
                  </w:tcMar>
                  <w:vAlign w:val="center"/>
                  <w:hideMark/>
                </w:tcPr>
                <w:p w:rsidR="000C2CA9" w:rsidRPr="000C2CA9" w:rsidRDefault="000C2CA9" w:rsidP="000C2CA9">
                  <w:pPr>
                    <w:spacing w:before="120" w:after="100" w:afterAutospacing="1" w:line="240" w:lineRule="auto"/>
                    <w:jc w:val="center"/>
                    <w:rPr>
                      <w:rFonts w:ascii="Times New Roman" w:eastAsia="Times New Roman" w:hAnsi="Times New Roman" w:cs="Times New Roman"/>
                      <w:sz w:val="26"/>
                      <w:szCs w:val="26"/>
                    </w:rPr>
                  </w:pPr>
                  <w:r w:rsidRPr="000C2CA9">
                    <w:rPr>
                      <w:rFonts w:ascii="Times New Roman" w:eastAsia="Times New Roman" w:hAnsi="Times New Roman" w:cs="Times New Roman"/>
                      <w:sz w:val="26"/>
                      <w:szCs w:val="26"/>
                    </w:rPr>
                    <w:t>Mức trợ cấp được hưởng tại thời điểm tháng 4/2012</w:t>
                  </w:r>
                </w:p>
              </w:tc>
              <w:tc>
                <w:tcPr>
                  <w:tcW w:w="480" w:type="dxa"/>
                  <w:tcMar>
                    <w:top w:w="0" w:type="dxa"/>
                    <w:left w:w="108" w:type="dxa"/>
                    <w:bottom w:w="0" w:type="dxa"/>
                    <w:right w:w="108" w:type="dxa"/>
                  </w:tcMar>
                  <w:vAlign w:val="center"/>
                  <w:hideMark/>
                </w:tcPr>
                <w:p w:rsidR="000C2CA9" w:rsidRPr="000C2CA9" w:rsidRDefault="000C2CA9" w:rsidP="000C2CA9">
                  <w:pPr>
                    <w:spacing w:before="120" w:after="100" w:afterAutospacing="1" w:line="240" w:lineRule="auto"/>
                    <w:jc w:val="center"/>
                    <w:rPr>
                      <w:rFonts w:ascii="Times New Roman" w:eastAsia="Times New Roman" w:hAnsi="Times New Roman" w:cs="Times New Roman"/>
                      <w:sz w:val="26"/>
                      <w:szCs w:val="26"/>
                    </w:rPr>
                  </w:pPr>
                  <w:r w:rsidRPr="000C2CA9">
                    <w:rPr>
                      <w:rFonts w:ascii="Times New Roman" w:eastAsia="Times New Roman" w:hAnsi="Times New Roman" w:cs="Times New Roman"/>
                      <w:sz w:val="26"/>
                      <w:szCs w:val="26"/>
                    </w:rPr>
                    <w:t>x</w:t>
                  </w:r>
                </w:p>
              </w:tc>
              <w:tc>
                <w:tcPr>
                  <w:tcW w:w="958" w:type="dxa"/>
                  <w:tcMar>
                    <w:top w:w="0" w:type="dxa"/>
                    <w:left w:w="108" w:type="dxa"/>
                    <w:bottom w:w="0" w:type="dxa"/>
                    <w:right w:w="108" w:type="dxa"/>
                  </w:tcMar>
                  <w:vAlign w:val="center"/>
                  <w:hideMark/>
                </w:tcPr>
                <w:p w:rsidR="000C2CA9" w:rsidRPr="000C2CA9" w:rsidRDefault="000C2CA9" w:rsidP="000C2CA9">
                  <w:pPr>
                    <w:spacing w:before="120" w:after="100" w:afterAutospacing="1" w:line="240" w:lineRule="auto"/>
                    <w:rPr>
                      <w:rFonts w:ascii="Times New Roman" w:eastAsia="Times New Roman" w:hAnsi="Times New Roman" w:cs="Times New Roman"/>
                      <w:sz w:val="26"/>
                      <w:szCs w:val="26"/>
                    </w:rPr>
                  </w:pPr>
                  <w:r w:rsidRPr="000C2CA9">
                    <w:rPr>
                      <w:rFonts w:ascii="Times New Roman" w:eastAsia="Times New Roman" w:hAnsi="Times New Roman" w:cs="Times New Roman"/>
                      <w:sz w:val="26"/>
                      <w:szCs w:val="26"/>
                    </w:rPr>
                    <w:t>1,265</w:t>
                  </w:r>
                </w:p>
              </w:tc>
            </w:tr>
          </w:tbl>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t>2. Mức điều chỉnh đối với các đối tượng tại Điều 1 Thông tư này từ ngày 01/5/2012 cụ thể như sau:</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t>- Từ đủ 15 năm đến dưới 16 năm, mức trợ cấp bằng 1.170.000 đồng/tháng;</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t>- Từ đủ 16 năm đến dưới 17 năm, mức trợ cấp bằng 1.229.000 đồng/tháng;</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t>- Từ đủ 17 năm đến dưới 18 năm, mức trợ cấp bằng 1.287.000 đồng/tháng;</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t>- Từ đủ 18 năm đến dưới 19 năm, mức trợ cấp bằng 1.346.000 đồng/tháng;</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t>- Từ đủ 19 năm đến dưới 20 năm, mức trợ cấp bằng 1.404.000 đồng/tháng.</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b/>
                <w:bCs/>
                <w:color w:val="000000"/>
                <w:sz w:val="26"/>
                <w:szCs w:val="26"/>
              </w:rPr>
              <w:t>Điều 3. Kinh phí thực hiện</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t>Kinh phí chi trả trợ cấp hàng tháng cho các đối tượng hướng dẫn tại Điều 1 Thông tư này do ngân sách Trung ương bảo đảm. Bộ Tài chính bảo đảm theo đề nghị của Bộ Lao động - Thương binh và Xã hội để ủy quyền cho Sở Lao động - Thương binh và Xã hội địa phương chi trả.</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b/>
                <w:bCs/>
                <w:color w:val="000000"/>
                <w:sz w:val="26"/>
                <w:szCs w:val="26"/>
              </w:rPr>
              <w:t>Điều 4. Hiệu lực thi hành</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lastRenderedPageBreak/>
              <w:t>1. Thông tư này có hiệu lực thi hành kể từ ngày 15 tháng 10 năm 2012.</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t>2. Bãi bỏ mức hưởng trợ cấp hàng tháng đối với các đối tượng hướng dẫn tại các Thông tư:</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t>a) Thông tư liên tịch số 82/2011/TTLT-BQP-BLĐTBXH-BTC ngày 09 tháng 6 năm 2011 của Bộ Quốc phòng, Bộ Lao động - Thương binh và Xã hội, Bộ Tài chính sửa đổi, bổ sung Thông tư số 110/2010/TTLT-BQP-BLĐTBXH-BTC ngày 08 tháng 9 năm 2010 của Bộ Quốc phòng, Bộ Lao động - Thương binh và Xã hội, Bộ Tài chính hướng dẫn thực hiện Quyết định số 142/2008/QĐ-TTg và Quyết định số 38/2010/QĐ-TTg.</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t>b) Thông tư liên tịch số 01/2012/TTLT-BQP-BLĐTBXH-BTC ngày 05 tháng 01 năm 2012 của Bộ Quốc phòng, Bộ Lao động - Thương binh và Xã hội, Bộ Tài chính hướng dẫn thực hiện Quyết định số 62/2011/QĐ-TTg.</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b/>
                <w:bCs/>
                <w:color w:val="000000"/>
                <w:sz w:val="26"/>
                <w:szCs w:val="26"/>
              </w:rPr>
              <w:t>Điều 5. Tổ chức thực hiện</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t>1. Bộ Quốc phòng chủ trì, phối hợp với Bộ Tài chính chỉ đạo, hướng dẫn, kiểm tra các cơ quan, đơn vị, địa phương thực hiện Thông tư này.</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t>2. Đối với đối tượng đã có quyết định hưởng chế độ trợ cấp hàng tháng trước ngày Nghị định số 35/2012/NĐ-CP có hiệu lực thi hành, cơ quan Lao động - Thương binh và Xã hội có thẩm quyền, chịu trách nhiệm điều chỉnh mức hưởng theo hướng dẫn tại Thông tư này.</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t>Đối với đối tượng đang xét hưởng chế độ, Bộ Quốc phòng chịu trách nhiệm điều chỉnh mức hưởng theo hướng dẫn tại Thông tư này.</w:t>
            </w:r>
          </w:p>
          <w:p w:rsidR="000C2CA9" w:rsidRPr="000C2CA9" w:rsidRDefault="000C2CA9" w:rsidP="000C2CA9">
            <w:pPr>
              <w:spacing w:before="120" w:after="120" w:line="240" w:lineRule="auto"/>
              <w:jc w:val="both"/>
              <w:rPr>
                <w:rFonts w:ascii="Times New Roman" w:eastAsia="Times New Roman" w:hAnsi="Times New Roman" w:cs="Times New Roman"/>
                <w:color w:val="000000"/>
                <w:sz w:val="26"/>
                <w:szCs w:val="26"/>
              </w:rPr>
            </w:pPr>
            <w:r w:rsidRPr="000C2CA9">
              <w:rPr>
                <w:rFonts w:ascii="Times New Roman" w:eastAsia="Times New Roman" w:hAnsi="Times New Roman" w:cs="Times New Roman"/>
                <w:color w:val="000000"/>
                <w:sz w:val="26"/>
                <w:szCs w:val="26"/>
              </w:rPr>
              <w:t>3. Trong quá trình thực hiện, nếu có vướng mắc, các cơ quan, đơn vị, địa phương phản ánh về Bộ Quốc phòng để phối hợp với Bộ Tài chính xem xét, giải quyết./.</w:t>
            </w:r>
          </w:p>
        </w:tc>
      </w:tr>
      <w:tr w:rsidR="000C2CA9" w:rsidRPr="000C2CA9" w:rsidTr="000C2CA9">
        <w:trPr>
          <w:tblCellSpacing w:w="15" w:type="dxa"/>
        </w:trPr>
        <w:tc>
          <w:tcPr>
            <w:tcW w:w="0" w:type="auto"/>
            <w:gridSpan w:val="3"/>
            <w:vAlign w:val="center"/>
            <w:hideMark/>
          </w:tcPr>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4635"/>
              <w:gridCol w:w="4635"/>
            </w:tblGrid>
            <w:tr w:rsidR="000C2CA9" w:rsidRPr="000C2CA9">
              <w:trPr>
                <w:tblCellSpacing w:w="15" w:type="dxa"/>
                <w:jc w:val="right"/>
              </w:trPr>
              <w:tc>
                <w:tcPr>
                  <w:tcW w:w="2500" w:type="pct"/>
                  <w:vAlign w:val="center"/>
                  <w:hideMark/>
                </w:tcPr>
                <w:p w:rsidR="000C2CA9" w:rsidRPr="000C2CA9" w:rsidRDefault="000C2CA9" w:rsidP="000C2CA9">
                  <w:pPr>
                    <w:spacing w:after="0" w:line="240" w:lineRule="auto"/>
                    <w:jc w:val="center"/>
                    <w:rPr>
                      <w:rFonts w:ascii="Times New Roman" w:eastAsia="Times New Roman" w:hAnsi="Times New Roman" w:cs="Times New Roman"/>
                      <w:sz w:val="26"/>
                      <w:szCs w:val="26"/>
                    </w:rPr>
                  </w:pPr>
                  <w:r w:rsidRPr="000C2CA9">
                    <w:rPr>
                      <w:rFonts w:ascii="Times New Roman" w:eastAsia="Times New Roman" w:hAnsi="Times New Roman" w:cs="Times New Roman"/>
                      <w:b/>
                      <w:bCs/>
                      <w:sz w:val="26"/>
                      <w:szCs w:val="26"/>
                    </w:rPr>
                    <w:lastRenderedPageBreak/>
                    <w:t>BỘ TÀI CHÍNH</w:t>
                  </w:r>
                </w:p>
              </w:tc>
              <w:tc>
                <w:tcPr>
                  <w:tcW w:w="2500" w:type="pct"/>
                  <w:vAlign w:val="center"/>
                  <w:hideMark/>
                </w:tcPr>
                <w:p w:rsidR="000C2CA9" w:rsidRPr="000C2CA9" w:rsidRDefault="000C2CA9" w:rsidP="000C2CA9">
                  <w:pPr>
                    <w:spacing w:after="0" w:line="240" w:lineRule="auto"/>
                    <w:jc w:val="center"/>
                    <w:rPr>
                      <w:rFonts w:ascii="Times New Roman" w:eastAsia="Times New Roman" w:hAnsi="Times New Roman" w:cs="Times New Roman"/>
                      <w:sz w:val="26"/>
                      <w:szCs w:val="26"/>
                    </w:rPr>
                  </w:pPr>
                  <w:r w:rsidRPr="000C2CA9">
                    <w:rPr>
                      <w:rFonts w:ascii="Times New Roman" w:eastAsia="Times New Roman" w:hAnsi="Times New Roman" w:cs="Times New Roman"/>
                      <w:b/>
                      <w:bCs/>
                      <w:sz w:val="26"/>
                      <w:szCs w:val="26"/>
                    </w:rPr>
                    <w:t>BỘ QUỐC PHÒNG</w:t>
                  </w:r>
                </w:p>
              </w:tc>
            </w:tr>
            <w:tr w:rsidR="000C2CA9" w:rsidRPr="000C2CA9">
              <w:trPr>
                <w:tblCellSpacing w:w="15" w:type="dxa"/>
                <w:jc w:val="right"/>
              </w:trPr>
              <w:tc>
                <w:tcPr>
                  <w:tcW w:w="2500" w:type="pct"/>
                  <w:vAlign w:val="center"/>
                  <w:hideMark/>
                </w:tcPr>
                <w:p w:rsidR="000C2CA9" w:rsidRPr="000C2CA9" w:rsidRDefault="000C2CA9" w:rsidP="000C2CA9">
                  <w:pPr>
                    <w:spacing w:after="0" w:line="240" w:lineRule="auto"/>
                    <w:jc w:val="center"/>
                    <w:rPr>
                      <w:rFonts w:ascii="Times New Roman" w:eastAsia="Times New Roman" w:hAnsi="Times New Roman" w:cs="Times New Roman"/>
                      <w:sz w:val="26"/>
                      <w:szCs w:val="26"/>
                    </w:rPr>
                  </w:pPr>
                  <w:r w:rsidRPr="000C2CA9">
                    <w:rPr>
                      <w:rFonts w:ascii="Times New Roman" w:eastAsia="Times New Roman" w:hAnsi="Times New Roman" w:cs="Times New Roman"/>
                      <w:b/>
                      <w:bCs/>
                      <w:sz w:val="26"/>
                      <w:szCs w:val="26"/>
                    </w:rPr>
                    <w:t>THỨ TRƯỞNG</w:t>
                  </w:r>
                </w:p>
              </w:tc>
              <w:tc>
                <w:tcPr>
                  <w:tcW w:w="2500" w:type="pct"/>
                  <w:vAlign w:val="center"/>
                  <w:hideMark/>
                </w:tcPr>
                <w:p w:rsidR="000C2CA9" w:rsidRPr="000C2CA9" w:rsidRDefault="000C2CA9" w:rsidP="000C2CA9">
                  <w:pPr>
                    <w:spacing w:after="0" w:line="240" w:lineRule="auto"/>
                    <w:jc w:val="center"/>
                    <w:rPr>
                      <w:rFonts w:ascii="Times New Roman" w:eastAsia="Times New Roman" w:hAnsi="Times New Roman" w:cs="Times New Roman"/>
                      <w:sz w:val="26"/>
                      <w:szCs w:val="26"/>
                    </w:rPr>
                  </w:pPr>
                  <w:r w:rsidRPr="000C2CA9">
                    <w:rPr>
                      <w:rFonts w:ascii="Times New Roman" w:eastAsia="Times New Roman" w:hAnsi="Times New Roman" w:cs="Times New Roman"/>
                      <w:b/>
                      <w:bCs/>
                      <w:sz w:val="26"/>
                      <w:szCs w:val="26"/>
                    </w:rPr>
                    <w:t>THỨ TRƯỞNG</w:t>
                  </w:r>
                </w:p>
              </w:tc>
            </w:tr>
            <w:tr w:rsidR="000C2CA9" w:rsidRPr="000C2CA9">
              <w:trPr>
                <w:tblCellSpacing w:w="15" w:type="dxa"/>
                <w:jc w:val="right"/>
              </w:trPr>
              <w:tc>
                <w:tcPr>
                  <w:tcW w:w="2500" w:type="pct"/>
                  <w:vAlign w:val="center"/>
                  <w:hideMark/>
                </w:tcPr>
                <w:p w:rsidR="000C2CA9" w:rsidRPr="000C2CA9" w:rsidRDefault="000C2CA9" w:rsidP="000C2CA9">
                  <w:pPr>
                    <w:spacing w:after="0" w:line="240" w:lineRule="auto"/>
                    <w:jc w:val="center"/>
                    <w:rPr>
                      <w:rFonts w:ascii="Times New Roman" w:eastAsia="Times New Roman" w:hAnsi="Times New Roman" w:cs="Times New Roman"/>
                      <w:sz w:val="26"/>
                      <w:szCs w:val="26"/>
                    </w:rPr>
                  </w:pPr>
                  <w:r w:rsidRPr="000C2CA9">
                    <w:rPr>
                      <w:rFonts w:ascii="Times New Roman" w:eastAsia="Times New Roman" w:hAnsi="Times New Roman" w:cs="Times New Roman"/>
                      <w:i/>
                      <w:iCs/>
                      <w:sz w:val="26"/>
                      <w:szCs w:val="26"/>
                    </w:rPr>
                    <w:t>(Đã ký)</w:t>
                  </w:r>
                </w:p>
              </w:tc>
              <w:tc>
                <w:tcPr>
                  <w:tcW w:w="2500" w:type="pct"/>
                  <w:vAlign w:val="center"/>
                  <w:hideMark/>
                </w:tcPr>
                <w:p w:rsidR="000C2CA9" w:rsidRPr="000C2CA9" w:rsidRDefault="000C2CA9" w:rsidP="000C2CA9">
                  <w:pPr>
                    <w:spacing w:after="0" w:line="240" w:lineRule="auto"/>
                    <w:jc w:val="center"/>
                    <w:rPr>
                      <w:rFonts w:ascii="Times New Roman" w:eastAsia="Times New Roman" w:hAnsi="Times New Roman" w:cs="Times New Roman"/>
                      <w:sz w:val="26"/>
                      <w:szCs w:val="26"/>
                    </w:rPr>
                  </w:pPr>
                  <w:r w:rsidRPr="000C2CA9">
                    <w:rPr>
                      <w:rFonts w:ascii="Times New Roman" w:eastAsia="Times New Roman" w:hAnsi="Times New Roman" w:cs="Times New Roman"/>
                      <w:i/>
                      <w:iCs/>
                      <w:sz w:val="26"/>
                      <w:szCs w:val="26"/>
                    </w:rPr>
                    <w:t>(Đã ký)</w:t>
                  </w:r>
                </w:p>
              </w:tc>
            </w:tr>
            <w:tr w:rsidR="000C2CA9" w:rsidRPr="000C2CA9">
              <w:trPr>
                <w:tblCellSpacing w:w="15" w:type="dxa"/>
                <w:jc w:val="right"/>
              </w:trPr>
              <w:tc>
                <w:tcPr>
                  <w:tcW w:w="2500" w:type="pct"/>
                  <w:vAlign w:val="center"/>
                  <w:hideMark/>
                </w:tcPr>
                <w:p w:rsidR="000C2CA9" w:rsidRPr="000C2CA9" w:rsidRDefault="000C2CA9" w:rsidP="000C2CA9">
                  <w:pPr>
                    <w:spacing w:after="0" w:line="240" w:lineRule="auto"/>
                    <w:jc w:val="right"/>
                    <w:rPr>
                      <w:rFonts w:ascii="Times New Roman" w:eastAsia="Times New Roman" w:hAnsi="Times New Roman" w:cs="Times New Roman"/>
                      <w:sz w:val="26"/>
                      <w:szCs w:val="26"/>
                    </w:rPr>
                  </w:pPr>
                  <w:r w:rsidRPr="000C2CA9">
                    <w:rPr>
                      <w:rFonts w:ascii="Times New Roman" w:eastAsia="Times New Roman" w:hAnsi="Times New Roman" w:cs="Times New Roman"/>
                      <w:sz w:val="26"/>
                      <w:szCs w:val="26"/>
                    </w:rPr>
                    <w:t> </w:t>
                  </w:r>
                </w:p>
              </w:tc>
              <w:tc>
                <w:tcPr>
                  <w:tcW w:w="2500" w:type="pct"/>
                  <w:vAlign w:val="center"/>
                  <w:hideMark/>
                </w:tcPr>
                <w:p w:rsidR="000C2CA9" w:rsidRPr="000C2CA9" w:rsidRDefault="000C2CA9" w:rsidP="000C2CA9">
                  <w:pPr>
                    <w:spacing w:after="0" w:line="240" w:lineRule="auto"/>
                    <w:jc w:val="right"/>
                    <w:rPr>
                      <w:rFonts w:ascii="Times New Roman" w:eastAsia="Times New Roman" w:hAnsi="Times New Roman" w:cs="Times New Roman"/>
                      <w:sz w:val="26"/>
                      <w:szCs w:val="26"/>
                    </w:rPr>
                  </w:pPr>
                  <w:r w:rsidRPr="000C2CA9">
                    <w:rPr>
                      <w:rFonts w:ascii="Times New Roman" w:eastAsia="Times New Roman" w:hAnsi="Times New Roman" w:cs="Times New Roman"/>
                      <w:sz w:val="26"/>
                      <w:szCs w:val="26"/>
                    </w:rPr>
                    <w:t> </w:t>
                  </w:r>
                </w:p>
              </w:tc>
            </w:tr>
            <w:tr w:rsidR="000C2CA9" w:rsidRPr="000C2CA9">
              <w:trPr>
                <w:tblCellSpacing w:w="15" w:type="dxa"/>
                <w:jc w:val="right"/>
              </w:trPr>
              <w:tc>
                <w:tcPr>
                  <w:tcW w:w="2500" w:type="pct"/>
                  <w:vAlign w:val="center"/>
                  <w:hideMark/>
                </w:tcPr>
                <w:p w:rsidR="000C2CA9" w:rsidRPr="000C2CA9" w:rsidRDefault="000C2CA9" w:rsidP="000C2CA9">
                  <w:pPr>
                    <w:spacing w:after="0" w:line="240" w:lineRule="auto"/>
                    <w:jc w:val="center"/>
                    <w:rPr>
                      <w:rFonts w:ascii="Times New Roman" w:eastAsia="Times New Roman" w:hAnsi="Times New Roman" w:cs="Times New Roman"/>
                      <w:sz w:val="26"/>
                      <w:szCs w:val="26"/>
                    </w:rPr>
                  </w:pPr>
                  <w:r w:rsidRPr="000C2CA9">
                    <w:rPr>
                      <w:rFonts w:ascii="Times New Roman" w:eastAsia="Times New Roman" w:hAnsi="Times New Roman" w:cs="Times New Roman"/>
                      <w:b/>
                      <w:bCs/>
                      <w:sz w:val="26"/>
                      <w:szCs w:val="26"/>
                    </w:rPr>
                    <w:t>Nguyễn Công Nghiệp</w:t>
                  </w:r>
                </w:p>
              </w:tc>
              <w:tc>
                <w:tcPr>
                  <w:tcW w:w="2500" w:type="pct"/>
                  <w:vAlign w:val="center"/>
                  <w:hideMark/>
                </w:tcPr>
                <w:p w:rsidR="000C2CA9" w:rsidRPr="000C2CA9" w:rsidRDefault="000C2CA9" w:rsidP="000C2CA9">
                  <w:pPr>
                    <w:spacing w:after="0" w:line="240" w:lineRule="auto"/>
                    <w:jc w:val="center"/>
                    <w:rPr>
                      <w:rFonts w:ascii="Times New Roman" w:eastAsia="Times New Roman" w:hAnsi="Times New Roman" w:cs="Times New Roman"/>
                      <w:sz w:val="26"/>
                      <w:szCs w:val="26"/>
                    </w:rPr>
                  </w:pPr>
                  <w:r w:rsidRPr="000C2CA9">
                    <w:rPr>
                      <w:rFonts w:ascii="Times New Roman" w:eastAsia="Times New Roman" w:hAnsi="Times New Roman" w:cs="Times New Roman"/>
                      <w:b/>
                      <w:bCs/>
                      <w:sz w:val="26"/>
                      <w:szCs w:val="26"/>
                    </w:rPr>
                    <w:t>Thượng tướng Nguyễn Thành Cung</w:t>
                  </w:r>
                </w:p>
              </w:tc>
            </w:tr>
          </w:tbl>
          <w:p w:rsidR="000C2CA9" w:rsidRPr="000C2CA9" w:rsidRDefault="000C2CA9" w:rsidP="000C2CA9">
            <w:pPr>
              <w:spacing w:after="0" w:line="240" w:lineRule="auto"/>
              <w:jc w:val="right"/>
              <w:rPr>
                <w:rFonts w:ascii="Times New Roman" w:eastAsia="Times New Roman" w:hAnsi="Times New Roman" w:cs="Times New Roman"/>
                <w:color w:val="000000"/>
                <w:sz w:val="26"/>
                <w:szCs w:val="26"/>
              </w:rPr>
            </w:pPr>
          </w:p>
        </w:tc>
      </w:tr>
    </w:tbl>
    <w:p w:rsidR="00030E67" w:rsidRPr="000C2CA9" w:rsidRDefault="00030E67">
      <w:pPr>
        <w:rPr>
          <w:rFonts w:ascii="Times New Roman" w:hAnsi="Times New Roman" w:cs="Times New Roman"/>
          <w:sz w:val="26"/>
          <w:szCs w:val="26"/>
        </w:rPr>
      </w:pPr>
    </w:p>
    <w:sectPr w:rsidR="00030E67" w:rsidRPr="000C2C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0D2" w:rsidRDefault="004170D2" w:rsidP="000C2CA9">
      <w:pPr>
        <w:spacing w:after="0" w:line="240" w:lineRule="auto"/>
      </w:pPr>
      <w:r>
        <w:separator/>
      </w:r>
    </w:p>
  </w:endnote>
  <w:endnote w:type="continuationSeparator" w:id="0">
    <w:p w:rsidR="004170D2" w:rsidRDefault="004170D2" w:rsidP="000C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4AF" w:rsidRDefault="00A804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A9" w:rsidRPr="00A67571" w:rsidRDefault="000C2CA9" w:rsidP="000C2CA9">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0C2CA9" w:rsidRDefault="000C2CA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4AF" w:rsidRDefault="00A804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0D2" w:rsidRDefault="004170D2" w:rsidP="000C2CA9">
      <w:pPr>
        <w:spacing w:after="0" w:line="240" w:lineRule="auto"/>
      </w:pPr>
      <w:r>
        <w:separator/>
      </w:r>
    </w:p>
  </w:footnote>
  <w:footnote w:type="continuationSeparator" w:id="0">
    <w:p w:rsidR="004170D2" w:rsidRDefault="004170D2" w:rsidP="000C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4AF" w:rsidRDefault="00A804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C2CA9" w:rsidRPr="00A67571" w:rsidTr="008A46CA">
      <w:trPr>
        <w:trHeight w:val="1208"/>
      </w:trPr>
      <w:tc>
        <w:tcPr>
          <w:tcW w:w="2411" w:type="dxa"/>
          <w:tcBorders>
            <w:top w:val="nil"/>
            <w:left w:val="nil"/>
            <w:bottom w:val="single" w:sz="4" w:space="0" w:color="auto"/>
            <w:right w:val="nil"/>
          </w:tcBorders>
          <w:vAlign w:val="center"/>
          <w:hideMark/>
        </w:tcPr>
        <w:p w:rsidR="000C2CA9" w:rsidRPr="00A67571" w:rsidRDefault="000C2CA9" w:rsidP="000C2CA9">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14:anchorId="364DF59B" wp14:editId="67D401F7">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804AF" w:rsidRDefault="00A804AF" w:rsidP="00A804AF">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A804AF" w:rsidRDefault="00A804AF" w:rsidP="00A804AF">
          <w:pPr>
            <w:rPr>
              <w:rFonts w:ascii="Times New Roman" w:hAnsi="Times New Roman"/>
              <w:sz w:val="20"/>
            </w:rPr>
          </w:pPr>
          <w:r>
            <w:rPr>
              <w:sz w:val="20"/>
            </w:rPr>
            <w:t>89 To Vinh Dien Street, Thanh Xuan District, Hanoi City, Viet Nam</w:t>
          </w:r>
        </w:p>
        <w:p w:rsidR="00A804AF" w:rsidRDefault="00A804AF" w:rsidP="00A804AF">
          <w:pPr>
            <w:rPr>
              <w:sz w:val="20"/>
            </w:rPr>
          </w:pPr>
          <w:r>
            <w:rPr>
              <w:sz w:val="20"/>
            </w:rPr>
            <w:t>Tel:   1900.6568                             Fax: 024.73.000.111</w:t>
          </w:r>
        </w:p>
        <w:p w:rsidR="000C2CA9" w:rsidRPr="00A67571" w:rsidRDefault="00A804AF" w:rsidP="00A804AF">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0C2CA9" w:rsidRPr="00A67571" w:rsidRDefault="000C2CA9" w:rsidP="000C2CA9">
    <w:pPr>
      <w:pStyle w:val="Header"/>
      <w:rPr>
        <w:rFonts w:ascii="Times New Roman" w:hAnsi="Times New Roman"/>
      </w:rPr>
    </w:pPr>
  </w:p>
  <w:p w:rsidR="000C2CA9" w:rsidRDefault="000C2C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4AF" w:rsidRDefault="00A804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A9"/>
    <w:rsid w:val="00030E67"/>
    <w:rsid w:val="000C2CA9"/>
    <w:rsid w:val="00266EB6"/>
    <w:rsid w:val="004170D2"/>
    <w:rsid w:val="00A8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A8358-2085-4C68-B025-6E74090A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0C2CA9"/>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2CA9"/>
  </w:style>
  <w:style w:type="paragraph" w:styleId="NormalWeb">
    <w:name w:val="Normal (Web)"/>
    <w:basedOn w:val="Normal"/>
    <w:uiPriority w:val="99"/>
    <w:semiHidden/>
    <w:unhideWhenUsed/>
    <w:rsid w:val="000C2C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0C2CA9"/>
    <w:pPr>
      <w:tabs>
        <w:tab w:val="center" w:pos="4680"/>
        <w:tab w:val="right" w:pos="9360"/>
      </w:tabs>
      <w:spacing w:after="0" w:line="240" w:lineRule="auto"/>
    </w:pPr>
  </w:style>
  <w:style w:type="character" w:customStyle="1" w:styleId="HeaderChar">
    <w:name w:val="Header Char"/>
    <w:basedOn w:val="DefaultParagraphFont"/>
    <w:link w:val="Header"/>
    <w:rsid w:val="000C2CA9"/>
  </w:style>
  <w:style w:type="paragraph" w:styleId="Footer">
    <w:name w:val="footer"/>
    <w:basedOn w:val="Normal"/>
    <w:link w:val="FooterChar"/>
    <w:uiPriority w:val="99"/>
    <w:unhideWhenUsed/>
    <w:rsid w:val="000C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A9"/>
  </w:style>
  <w:style w:type="character" w:customStyle="1" w:styleId="Heading6Char">
    <w:name w:val="Heading 6 Char"/>
    <w:basedOn w:val="DefaultParagraphFont"/>
    <w:link w:val="Heading6"/>
    <w:semiHidden/>
    <w:rsid w:val="000C2CA9"/>
    <w:rPr>
      <w:rFonts w:ascii="Calibri" w:eastAsia="Times New Roman" w:hAnsi="Calibri" w:cs="Times New Roman"/>
      <w:b/>
      <w:bCs/>
    </w:rPr>
  </w:style>
  <w:style w:type="character" w:styleId="Hyperlink">
    <w:name w:val="Hyperlink"/>
    <w:uiPriority w:val="99"/>
    <w:unhideWhenUsed/>
    <w:rsid w:val="000C2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3458">
      <w:bodyDiv w:val="1"/>
      <w:marLeft w:val="0"/>
      <w:marRight w:val="0"/>
      <w:marTop w:val="0"/>
      <w:marBottom w:val="0"/>
      <w:divBdr>
        <w:top w:val="none" w:sz="0" w:space="0" w:color="auto"/>
        <w:left w:val="none" w:sz="0" w:space="0" w:color="auto"/>
        <w:bottom w:val="none" w:sz="0" w:space="0" w:color="auto"/>
        <w:right w:val="none" w:sz="0" w:space="0" w:color="auto"/>
      </w:divBdr>
      <w:divsChild>
        <w:div w:id="168301868">
          <w:marLeft w:val="0"/>
          <w:marRight w:val="0"/>
          <w:marTop w:val="0"/>
          <w:marBottom w:val="0"/>
          <w:divBdr>
            <w:top w:val="none" w:sz="0" w:space="0" w:color="auto"/>
            <w:left w:val="none" w:sz="0" w:space="0" w:color="auto"/>
            <w:bottom w:val="none" w:sz="0" w:space="0" w:color="auto"/>
            <w:right w:val="none" w:sz="0" w:space="0" w:color="auto"/>
          </w:divBdr>
        </w:div>
        <w:div w:id="1131821787">
          <w:marLeft w:val="0"/>
          <w:marRight w:val="0"/>
          <w:marTop w:val="0"/>
          <w:marBottom w:val="0"/>
          <w:divBdr>
            <w:top w:val="none" w:sz="0" w:space="0" w:color="auto"/>
            <w:left w:val="none" w:sz="0" w:space="0" w:color="auto"/>
            <w:bottom w:val="none" w:sz="0" w:space="0" w:color="auto"/>
            <w:right w:val="none" w:sz="0" w:space="0" w:color="auto"/>
          </w:divBdr>
        </w:div>
        <w:div w:id="2023706529">
          <w:marLeft w:val="0"/>
          <w:marRight w:val="0"/>
          <w:marTop w:val="0"/>
          <w:marBottom w:val="0"/>
          <w:divBdr>
            <w:top w:val="none" w:sz="0" w:space="0" w:color="auto"/>
            <w:left w:val="none" w:sz="0" w:space="0" w:color="auto"/>
            <w:bottom w:val="none" w:sz="0" w:space="0" w:color="auto"/>
            <w:right w:val="none" w:sz="0" w:space="0" w:color="auto"/>
          </w:divBdr>
        </w:div>
        <w:div w:id="603078783">
          <w:marLeft w:val="0"/>
          <w:marRight w:val="0"/>
          <w:marTop w:val="0"/>
          <w:marBottom w:val="0"/>
          <w:divBdr>
            <w:top w:val="none" w:sz="0" w:space="0" w:color="auto"/>
            <w:left w:val="none" w:sz="0" w:space="0" w:color="auto"/>
            <w:bottom w:val="none" w:sz="0" w:space="0" w:color="auto"/>
            <w:right w:val="none" w:sz="0" w:space="0" w:color="auto"/>
          </w:divBdr>
        </w:div>
      </w:divsChild>
    </w:div>
    <w:div w:id="942690564">
      <w:bodyDiv w:val="1"/>
      <w:marLeft w:val="0"/>
      <w:marRight w:val="0"/>
      <w:marTop w:val="0"/>
      <w:marBottom w:val="0"/>
      <w:divBdr>
        <w:top w:val="none" w:sz="0" w:space="0" w:color="auto"/>
        <w:left w:val="none" w:sz="0" w:space="0" w:color="auto"/>
        <w:bottom w:val="none" w:sz="0" w:space="0" w:color="auto"/>
        <w:right w:val="none" w:sz="0" w:space="0" w:color="auto"/>
      </w:divBdr>
      <w:divsChild>
        <w:div w:id="542207026">
          <w:marLeft w:val="0"/>
          <w:marRight w:val="0"/>
          <w:marTop w:val="0"/>
          <w:marBottom w:val="0"/>
          <w:divBdr>
            <w:top w:val="none" w:sz="0" w:space="0" w:color="auto"/>
            <w:left w:val="none" w:sz="0" w:space="0" w:color="auto"/>
            <w:bottom w:val="none" w:sz="0" w:space="0" w:color="auto"/>
            <w:right w:val="none" w:sz="0" w:space="0" w:color="auto"/>
          </w:divBdr>
        </w:div>
        <w:div w:id="1752508178">
          <w:marLeft w:val="0"/>
          <w:marRight w:val="0"/>
          <w:marTop w:val="0"/>
          <w:marBottom w:val="0"/>
          <w:divBdr>
            <w:top w:val="none" w:sz="0" w:space="0" w:color="auto"/>
            <w:left w:val="none" w:sz="0" w:space="0" w:color="auto"/>
            <w:bottom w:val="none" w:sz="0" w:space="0" w:color="auto"/>
            <w:right w:val="none" w:sz="0" w:space="0" w:color="auto"/>
          </w:divBdr>
        </w:div>
        <w:div w:id="1899439737">
          <w:marLeft w:val="0"/>
          <w:marRight w:val="0"/>
          <w:marTop w:val="0"/>
          <w:marBottom w:val="0"/>
          <w:divBdr>
            <w:top w:val="none" w:sz="0" w:space="0" w:color="auto"/>
            <w:left w:val="none" w:sz="0" w:space="0" w:color="auto"/>
            <w:bottom w:val="none" w:sz="0" w:space="0" w:color="auto"/>
            <w:right w:val="none" w:sz="0" w:space="0" w:color="auto"/>
          </w:divBdr>
        </w:div>
        <w:div w:id="277415673">
          <w:marLeft w:val="0"/>
          <w:marRight w:val="0"/>
          <w:marTop w:val="0"/>
          <w:marBottom w:val="0"/>
          <w:divBdr>
            <w:top w:val="none" w:sz="0" w:space="0" w:color="auto"/>
            <w:left w:val="none" w:sz="0" w:space="0" w:color="auto"/>
            <w:bottom w:val="none" w:sz="0" w:space="0" w:color="auto"/>
            <w:right w:val="none" w:sz="0" w:space="0" w:color="auto"/>
          </w:divBdr>
        </w:div>
      </w:divsChild>
    </w:div>
    <w:div w:id="1106924415">
      <w:bodyDiv w:val="1"/>
      <w:marLeft w:val="0"/>
      <w:marRight w:val="0"/>
      <w:marTop w:val="0"/>
      <w:marBottom w:val="0"/>
      <w:divBdr>
        <w:top w:val="none" w:sz="0" w:space="0" w:color="auto"/>
        <w:left w:val="none" w:sz="0" w:space="0" w:color="auto"/>
        <w:bottom w:val="none" w:sz="0" w:space="0" w:color="auto"/>
        <w:right w:val="none" w:sz="0" w:space="0" w:color="auto"/>
      </w:divBdr>
      <w:divsChild>
        <w:div w:id="174004091">
          <w:marLeft w:val="0"/>
          <w:marRight w:val="0"/>
          <w:marTop w:val="0"/>
          <w:marBottom w:val="0"/>
          <w:divBdr>
            <w:top w:val="none" w:sz="0" w:space="0" w:color="auto"/>
            <w:left w:val="none" w:sz="0" w:space="0" w:color="auto"/>
            <w:bottom w:val="none" w:sz="0" w:space="0" w:color="auto"/>
            <w:right w:val="none" w:sz="0" w:space="0" w:color="auto"/>
          </w:divBdr>
        </w:div>
        <w:div w:id="1295988150">
          <w:marLeft w:val="0"/>
          <w:marRight w:val="0"/>
          <w:marTop w:val="0"/>
          <w:marBottom w:val="0"/>
          <w:divBdr>
            <w:top w:val="none" w:sz="0" w:space="0" w:color="auto"/>
            <w:left w:val="none" w:sz="0" w:space="0" w:color="auto"/>
            <w:bottom w:val="none" w:sz="0" w:space="0" w:color="auto"/>
            <w:right w:val="none" w:sz="0" w:space="0" w:color="auto"/>
          </w:divBdr>
        </w:div>
        <w:div w:id="221449437">
          <w:marLeft w:val="0"/>
          <w:marRight w:val="0"/>
          <w:marTop w:val="0"/>
          <w:marBottom w:val="0"/>
          <w:divBdr>
            <w:top w:val="none" w:sz="0" w:space="0" w:color="auto"/>
            <w:left w:val="none" w:sz="0" w:space="0" w:color="auto"/>
            <w:bottom w:val="none" w:sz="0" w:space="0" w:color="auto"/>
            <w:right w:val="none" w:sz="0" w:space="0" w:color="auto"/>
          </w:divBdr>
        </w:div>
        <w:div w:id="338192603">
          <w:marLeft w:val="0"/>
          <w:marRight w:val="0"/>
          <w:marTop w:val="0"/>
          <w:marBottom w:val="0"/>
          <w:divBdr>
            <w:top w:val="none" w:sz="0" w:space="0" w:color="auto"/>
            <w:left w:val="none" w:sz="0" w:space="0" w:color="auto"/>
            <w:bottom w:val="none" w:sz="0" w:space="0" w:color="auto"/>
            <w:right w:val="none" w:sz="0" w:space="0" w:color="auto"/>
          </w:divBdr>
        </w:div>
      </w:divsChild>
    </w:div>
    <w:div w:id="1505978490">
      <w:bodyDiv w:val="1"/>
      <w:marLeft w:val="0"/>
      <w:marRight w:val="0"/>
      <w:marTop w:val="0"/>
      <w:marBottom w:val="0"/>
      <w:divBdr>
        <w:top w:val="none" w:sz="0" w:space="0" w:color="auto"/>
        <w:left w:val="none" w:sz="0" w:space="0" w:color="auto"/>
        <w:bottom w:val="none" w:sz="0" w:space="0" w:color="auto"/>
        <w:right w:val="none" w:sz="0" w:space="0" w:color="auto"/>
      </w:divBdr>
    </w:div>
    <w:div w:id="2033604174">
      <w:bodyDiv w:val="1"/>
      <w:marLeft w:val="0"/>
      <w:marRight w:val="0"/>
      <w:marTop w:val="0"/>
      <w:marBottom w:val="0"/>
      <w:divBdr>
        <w:top w:val="none" w:sz="0" w:space="0" w:color="auto"/>
        <w:left w:val="none" w:sz="0" w:space="0" w:color="auto"/>
        <w:bottom w:val="none" w:sz="0" w:space="0" w:color="auto"/>
        <w:right w:val="none" w:sz="0" w:space="0" w:color="auto"/>
      </w:divBdr>
      <w:divsChild>
        <w:div w:id="412747170">
          <w:marLeft w:val="0"/>
          <w:marRight w:val="0"/>
          <w:marTop w:val="0"/>
          <w:marBottom w:val="0"/>
          <w:divBdr>
            <w:top w:val="none" w:sz="0" w:space="0" w:color="auto"/>
            <w:left w:val="none" w:sz="0" w:space="0" w:color="auto"/>
            <w:bottom w:val="none" w:sz="0" w:space="0" w:color="auto"/>
            <w:right w:val="none" w:sz="0" w:space="0" w:color="auto"/>
          </w:divBdr>
        </w:div>
        <w:div w:id="418064674">
          <w:marLeft w:val="0"/>
          <w:marRight w:val="0"/>
          <w:marTop w:val="0"/>
          <w:marBottom w:val="0"/>
          <w:divBdr>
            <w:top w:val="none" w:sz="0" w:space="0" w:color="auto"/>
            <w:left w:val="none" w:sz="0" w:space="0" w:color="auto"/>
            <w:bottom w:val="none" w:sz="0" w:space="0" w:color="auto"/>
            <w:right w:val="none" w:sz="0" w:space="0" w:color="auto"/>
          </w:divBdr>
        </w:div>
        <w:div w:id="523321518">
          <w:marLeft w:val="0"/>
          <w:marRight w:val="0"/>
          <w:marTop w:val="0"/>
          <w:marBottom w:val="0"/>
          <w:divBdr>
            <w:top w:val="none" w:sz="0" w:space="0" w:color="auto"/>
            <w:left w:val="none" w:sz="0" w:space="0" w:color="auto"/>
            <w:bottom w:val="none" w:sz="0" w:space="0" w:color="auto"/>
            <w:right w:val="none" w:sz="0" w:space="0" w:color="auto"/>
          </w:divBdr>
        </w:div>
        <w:div w:id="1591043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Admin</cp:lastModifiedBy>
  <cp:revision>2</cp:revision>
  <dcterms:created xsi:type="dcterms:W3CDTF">2015-05-08T02:17:00Z</dcterms:created>
  <dcterms:modified xsi:type="dcterms:W3CDTF">2020-10-30T04:13:00Z</dcterms:modified>
</cp:coreProperties>
</file>