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250695" w:rsidRPr="00250695" w:rsidTr="00D365B6">
        <w:tc>
          <w:tcPr>
            <w:tcW w:w="3348" w:type="dxa"/>
            <w:tcMar>
              <w:top w:w="0" w:type="dxa"/>
              <w:left w:w="108" w:type="dxa"/>
              <w:bottom w:w="0" w:type="dxa"/>
              <w:right w:w="108" w:type="dxa"/>
            </w:tcMa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sz w:val="24"/>
                <w:szCs w:val="24"/>
                <w:lang w:val="nl-NL"/>
              </w:rPr>
              <w:t>BỘ TÀI CHÍNH</w:t>
            </w:r>
            <w:r w:rsidRPr="00250695">
              <w:rPr>
                <w:rFonts w:ascii="Times New Roman" w:hAnsi="Times New Roman"/>
                <w:b/>
                <w:bCs/>
                <w:sz w:val="24"/>
                <w:szCs w:val="24"/>
                <w:lang w:val="nl-NL"/>
              </w:rPr>
              <w:br/>
              <w:t>--------</w:t>
            </w:r>
          </w:p>
        </w:tc>
        <w:tc>
          <w:tcPr>
            <w:tcW w:w="5508" w:type="dxa"/>
            <w:tcMar>
              <w:top w:w="0" w:type="dxa"/>
              <w:left w:w="108" w:type="dxa"/>
              <w:bottom w:w="0" w:type="dxa"/>
              <w:right w:w="108" w:type="dxa"/>
            </w:tcMa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sz w:val="24"/>
                <w:szCs w:val="24"/>
              </w:rPr>
              <w:t>CỘNG HÒA XÃ HỘI CHỦ NGHĨA VIỆT NAM</w:t>
            </w:r>
            <w:r w:rsidRPr="00250695">
              <w:rPr>
                <w:rFonts w:ascii="Times New Roman" w:hAnsi="Times New Roman"/>
                <w:b/>
                <w:bCs/>
                <w:sz w:val="24"/>
                <w:szCs w:val="24"/>
              </w:rPr>
              <w:br/>
              <w:t xml:space="preserve">Độc lập - Tự do - Hạnh phúc </w:t>
            </w:r>
            <w:r w:rsidRPr="00250695">
              <w:rPr>
                <w:rFonts w:ascii="Times New Roman" w:hAnsi="Times New Roman"/>
                <w:b/>
                <w:bCs/>
                <w:sz w:val="24"/>
                <w:szCs w:val="24"/>
              </w:rPr>
              <w:br/>
              <w:t>---------------</w:t>
            </w:r>
          </w:p>
        </w:tc>
      </w:tr>
      <w:tr w:rsidR="00250695" w:rsidRPr="00250695" w:rsidTr="00D365B6">
        <w:tc>
          <w:tcPr>
            <w:tcW w:w="3348" w:type="dxa"/>
            <w:tcMar>
              <w:top w:w="0" w:type="dxa"/>
              <w:left w:w="108" w:type="dxa"/>
              <w:bottom w:w="0" w:type="dxa"/>
              <w:right w:w="108" w:type="dxa"/>
            </w:tcMa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lang w:val="nl-NL"/>
              </w:rPr>
              <w:t>Số: 38</w:t>
            </w:r>
            <w:r w:rsidRPr="00250695">
              <w:rPr>
                <w:rFonts w:ascii="Times New Roman" w:hAnsi="Times New Roman"/>
                <w:sz w:val="24"/>
                <w:szCs w:val="24"/>
              </w:rPr>
              <w:t>/2013/TT-BTC</w:t>
            </w:r>
          </w:p>
        </w:tc>
        <w:tc>
          <w:tcPr>
            <w:tcW w:w="5508" w:type="dxa"/>
            <w:tcMar>
              <w:top w:w="0" w:type="dxa"/>
              <w:left w:w="108" w:type="dxa"/>
              <w:bottom w:w="0" w:type="dxa"/>
              <w:right w:w="108" w:type="dxa"/>
            </w:tcMar>
            <w:hideMark/>
          </w:tcPr>
          <w:p w:rsidR="00250695" w:rsidRPr="00250695" w:rsidRDefault="00250695" w:rsidP="003C21A9">
            <w:pPr>
              <w:pStyle w:val="NormalWeb"/>
              <w:spacing w:after="120" w:afterAutospacing="0" w:line="360" w:lineRule="auto"/>
              <w:jc w:val="right"/>
              <w:rPr>
                <w:rFonts w:ascii="Times New Roman" w:hAnsi="Times New Roman"/>
                <w:sz w:val="24"/>
                <w:szCs w:val="24"/>
              </w:rPr>
            </w:pPr>
            <w:r w:rsidRPr="00250695">
              <w:rPr>
                <w:rFonts w:ascii="Times New Roman" w:hAnsi="Times New Roman"/>
                <w:i/>
                <w:iCs/>
                <w:sz w:val="24"/>
                <w:szCs w:val="24"/>
                <w:lang w:val="nl-NL"/>
              </w:rPr>
              <w:t>Hà Nội, ngày 04 tháng 4 năm 2013</w:t>
            </w:r>
          </w:p>
        </w:tc>
      </w:tr>
    </w:tbl>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sz w:val="24"/>
          <w:szCs w:val="24"/>
        </w:rPr>
        <w:t>THÔNG TƯ</w:t>
      </w:r>
    </w:p>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SỬA ĐỔI MỨC THUẾ SUẤT THUẾ NHẬP KHẨU ƯU ĐÃI ĐỐI VỚI MỘT SỐ MẶT HÀNG THUỘC NHÓM 39.03, 54.02, 59.02, 72.17 TẠI BIỂU THUẾ NHẬP KHẨU ƯU ĐÃI</w:t>
      </w:r>
    </w:p>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i/>
          <w:iCs/>
          <w:sz w:val="24"/>
          <w:szCs w:val="24"/>
        </w:rPr>
        <w:t>Căn cứ Luật Thuế xuất khẩu, Thuế nhập khẩu ngày 14/6/2005;</w:t>
      </w:r>
    </w:p>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i/>
          <w:iCs/>
          <w:sz w:val="24"/>
          <w:szCs w:val="24"/>
        </w:rPr>
        <w:t>Căn cứ Nghị quyết số 295/2007/NQ-UBTVQH12 ngày 28/9/2007 của Ủy ban Thường vụ Quốc hội về việc ban hành Biểu thuế xuất khẩu theo danh mục nhóm hàng chịu thuế và khung thuế suất đối với từng nhóm hàng, Biểu thuế nhập khẩu ưu đãi theo danh mục nhóm hàng chịu thuế và khung thuế suất ưu đãi đối với từng nhóm hàng;</w:t>
      </w:r>
    </w:p>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i/>
          <w:iCs/>
          <w:sz w:val="24"/>
          <w:szCs w:val="24"/>
        </w:rPr>
        <w:t>Căn cứ Nghị định số 87/2010/NĐ-CP ngày 13/8/2010 của Chính phủ quy định chi tiết thi hành một số điều của Luật Thuế xuất khẩu, Thuế nhập khẩu;</w:t>
      </w:r>
    </w:p>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i/>
          <w:iCs/>
          <w:sz w:val="24"/>
          <w:szCs w:val="24"/>
        </w:rPr>
        <w:t>Căn cứ Nghị định số 118/2008/NĐ-CP ngày 27/11/2008 của Chính phủ quy định chức năng, nhiệm vụ, quyền hạn và cơ cấu tổ chức của Bộ Tài chính;</w:t>
      </w:r>
    </w:p>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i/>
          <w:iCs/>
          <w:sz w:val="24"/>
          <w:szCs w:val="24"/>
        </w:rPr>
        <w:t xml:space="preserve">Theo đề nghị </w:t>
      </w:r>
      <w:r w:rsidRPr="00250695">
        <w:rPr>
          <w:rFonts w:ascii="Times New Roman" w:hAnsi="Times New Roman"/>
          <w:i/>
          <w:iCs/>
          <w:sz w:val="24"/>
          <w:szCs w:val="24"/>
          <w:lang w:val="nl-NL"/>
        </w:rPr>
        <w:t xml:space="preserve">của </w:t>
      </w:r>
      <w:r w:rsidRPr="00250695">
        <w:rPr>
          <w:rFonts w:ascii="Times New Roman" w:hAnsi="Times New Roman"/>
          <w:i/>
          <w:iCs/>
          <w:sz w:val="24"/>
          <w:szCs w:val="24"/>
        </w:rPr>
        <w:t>Vụ trưởng Vụ Chính sách Thuế,</w:t>
      </w:r>
    </w:p>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i/>
          <w:iCs/>
          <w:sz w:val="24"/>
          <w:szCs w:val="24"/>
          <w:lang w:val="nl-NL"/>
        </w:rPr>
        <w:t xml:space="preserve">Bộ trưởng </w:t>
      </w:r>
      <w:r w:rsidRPr="00250695">
        <w:rPr>
          <w:rFonts w:ascii="Times New Roman" w:hAnsi="Times New Roman"/>
          <w:i/>
          <w:iCs/>
          <w:sz w:val="24"/>
          <w:szCs w:val="24"/>
        </w:rPr>
        <w:t xml:space="preserve">Bộ Tài chính ban hành </w:t>
      </w:r>
      <w:r w:rsidRPr="00250695">
        <w:rPr>
          <w:rFonts w:ascii="Times New Roman" w:hAnsi="Times New Roman"/>
          <w:i/>
          <w:iCs/>
          <w:sz w:val="24"/>
          <w:szCs w:val="24"/>
          <w:lang w:val="nl-NL"/>
        </w:rPr>
        <w:t xml:space="preserve">Thông tư </w:t>
      </w:r>
      <w:r w:rsidRPr="00250695">
        <w:rPr>
          <w:rFonts w:ascii="Times New Roman" w:hAnsi="Times New Roman"/>
          <w:i/>
          <w:iCs/>
          <w:sz w:val="24"/>
          <w:szCs w:val="24"/>
        </w:rPr>
        <w:t>sửa đổi mức thuế suất thuế nhập khẩu ưu đãi đối với một số mặt hàng tại Biểu thuế nhập khẩu ưu đãi</w:t>
      </w:r>
      <w:r w:rsidRPr="00250695">
        <w:rPr>
          <w:rFonts w:ascii="Times New Roman" w:hAnsi="Times New Roman"/>
          <w:sz w:val="24"/>
          <w:szCs w:val="24"/>
        </w:rPr>
        <w:t>.</w:t>
      </w:r>
    </w:p>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sz w:val="24"/>
          <w:szCs w:val="24"/>
        </w:rPr>
        <w:t>Điều 1. Sửa đổi mức thuế suất thuế nhập khẩu ưu đãi</w:t>
      </w:r>
    </w:p>
    <w:p w:rsidR="00250695" w:rsidRPr="00250695" w:rsidRDefault="00250695" w:rsidP="003C21A9">
      <w:pPr>
        <w:pStyle w:val="NormalWeb"/>
        <w:spacing w:before="0" w:beforeAutospacing="0" w:after="120" w:afterAutospacing="0" w:line="360" w:lineRule="auto"/>
        <w:ind w:right="29"/>
        <w:rPr>
          <w:rFonts w:ascii="Times New Roman" w:hAnsi="Times New Roman"/>
          <w:sz w:val="24"/>
          <w:szCs w:val="24"/>
        </w:rPr>
      </w:pPr>
      <w:r w:rsidRPr="00250695">
        <w:rPr>
          <w:rFonts w:ascii="Times New Roman" w:hAnsi="Times New Roman"/>
          <w:sz w:val="24"/>
          <w:szCs w:val="24"/>
        </w:rPr>
        <w:t xml:space="preserve">Sửa đổi mức thuế suất thuế nhập khẩu ưu đãi đối với một số mặt hàng thuộc nhóm 39.03, 54.02, 59.02, 72.17 quy định tại Biểu thuế nhập khẩu ưu đãi theo Danh mục mặt hàng chịu thuế tại mục I, Phụ lục II </w:t>
      </w:r>
      <w:r w:rsidRPr="00250695">
        <w:rPr>
          <w:rFonts w:ascii="Times New Roman" w:hAnsi="Times New Roman"/>
          <w:sz w:val="24"/>
          <w:szCs w:val="24"/>
        </w:rPr>
        <w:lastRenderedPageBreak/>
        <w:t>ban hành kèm theo Thông tư số 193/2012/TT-BTC ngày 15/11/2012 của Bộ Tài chính ban hành Biểu thuế xuất khẩu, Biểu thuế nhập khẩu ưu đãi theo danh mục mặt hàng chịu thuế thành mức thuế suất thuế nhập khẩu ưu đãi mới quy định tại Danh mục ban hành kèm theo Thông tư này.</w:t>
      </w:r>
    </w:p>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sz w:val="24"/>
          <w:szCs w:val="24"/>
        </w:rPr>
        <w:t>Điều 2.Hiệu lực thi hành</w:t>
      </w:r>
    </w:p>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lang w:val="nl-NL"/>
        </w:rPr>
        <w:t>Thông tư này có hiệu lực thi hành kể từ ngày 19 tháng 5 năm 2013./.</w:t>
      </w:r>
    </w:p>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4728"/>
        <w:gridCol w:w="4128"/>
      </w:tblGrid>
      <w:tr w:rsidR="00250695" w:rsidRPr="00250695" w:rsidTr="00D365B6">
        <w:tc>
          <w:tcPr>
            <w:tcW w:w="4728" w:type="dxa"/>
            <w:tcMar>
              <w:top w:w="0" w:type="dxa"/>
              <w:left w:w="108" w:type="dxa"/>
              <w:bottom w:w="0" w:type="dxa"/>
              <w:right w:w="108" w:type="dxa"/>
            </w:tcMa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 </w:t>
            </w:r>
          </w:p>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Nơi nhận:</w:t>
            </w:r>
            <w:r w:rsidRPr="00250695">
              <w:rPr>
                <w:rFonts w:ascii="Times New Roman" w:hAnsi="Times New Roman"/>
                <w:b/>
                <w:bCs/>
                <w:i/>
                <w:iCs/>
                <w:sz w:val="24"/>
                <w:szCs w:val="24"/>
              </w:rPr>
              <w:br/>
            </w:r>
            <w:r w:rsidRPr="00250695">
              <w:rPr>
                <w:rFonts w:ascii="Times New Roman" w:hAnsi="Times New Roman"/>
                <w:sz w:val="24"/>
                <w:szCs w:val="24"/>
              </w:rPr>
              <w:t>- Thủ tướng và các Phó Thủ tướng Chính phủ;</w:t>
            </w:r>
            <w:r w:rsidRPr="00250695">
              <w:rPr>
                <w:rFonts w:ascii="Times New Roman" w:hAnsi="Times New Roman"/>
                <w:sz w:val="24"/>
                <w:szCs w:val="24"/>
              </w:rPr>
              <w:br/>
              <w:t>- Văn phòng TW và các Ban của Đảng;</w:t>
            </w:r>
            <w:r w:rsidRPr="00250695">
              <w:rPr>
                <w:rFonts w:ascii="Times New Roman" w:hAnsi="Times New Roman"/>
                <w:sz w:val="24"/>
                <w:szCs w:val="24"/>
              </w:rPr>
              <w:br/>
              <w:t>- Văn phòng Quốc hội;</w:t>
            </w:r>
            <w:r w:rsidRPr="00250695">
              <w:rPr>
                <w:rFonts w:ascii="Times New Roman" w:hAnsi="Times New Roman"/>
                <w:sz w:val="24"/>
                <w:szCs w:val="24"/>
              </w:rPr>
              <w:br/>
              <w:t>- Văn phòng Tổng Bí thư;</w:t>
            </w:r>
            <w:r w:rsidRPr="00250695">
              <w:rPr>
                <w:rFonts w:ascii="Times New Roman" w:hAnsi="Times New Roman"/>
                <w:sz w:val="24"/>
                <w:szCs w:val="24"/>
              </w:rPr>
              <w:br/>
              <w:t>- Văn phòng Chủ tịch nước;</w:t>
            </w:r>
            <w:r w:rsidRPr="00250695">
              <w:rPr>
                <w:rFonts w:ascii="Times New Roman" w:hAnsi="Times New Roman"/>
                <w:sz w:val="24"/>
                <w:szCs w:val="24"/>
              </w:rPr>
              <w:br/>
              <w:t>- Viện kiểm sát NDTC, Tòa án NDTC;</w:t>
            </w:r>
            <w:r w:rsidRPr="00250695">
              <w:rPr>
                <w:rFonts w:ascii="Times New Roman" w:hAnsi="Times New Roman"/>
                <w:sz w:val="24"/>
                <w:szCs w:val="24"/>
              </w:rPr>
              <w:br/>
              <w:t>- Kiểm toán Nhà nước;</w:t>
            </w:r>
            <w:r w:rsidRPr="00250695">
              <w:rPr>
                <w:rFonts w:ascii="Times New Roman" w:hAnsi="Times New Roman"/>
                <w:sz w:val="24"/>
                <w:szCs w:val="24"/>
              </w:rPr>
              <w:br/>
              <w:t>- Các Bộ, cơ quan ngang Bộ, cơ quan thuộc CP;</w:t>
            </w:r>
            <w:r w:rsidRPr="00250695">
              <w:rPr>
                <w:rFonts w:ascii="Times New Roman" w:hAnsi="Times New Roman"/>
                <w:sz w:val="24"/>
                <w:szCs w:val="24"/>
              </w:rPr>
              <w:br/>
              <w:t>- UBND tỉnh, thành phố trực thuộc TW;</w:t>
            </w:r>
            <w:r w:rsidRPr="00250695">
              <w:rPr>
                <w:rFonts w:ascii="Times New Roman" w:hAnsi="Times New Roman"/>
                <w:sz w:val="24"/>
                <w:szCs w:val="24"/>
              </w:rPr>
              <w:br/>
              <w:t>- VP BCĐ TƯ về phòng, chống tham nhũng;</w:t>
            </w:r>
            <w:r w:rsidRPr="00250695">
              <w:rPr>
                <w:rFonts w:ascii="Times New Roman" w:hAnsi="Times New Roman"/>
                <w:sz w:val="24"/>
                <w:szCs w:val="24"/>
              </w:rPr>
              <w:br/>
              <w:t>- Cục Kiểm tra văn bản (Bộ Tư pháp);</w:t>
            </w:r>
            <w:r w:rsidRPr="00250695">
              <w:rPr>
                <w:rFonts w:ascii="Times New Roman" w:hAnsi="Times New Roman"/>
                <w:sz w:val="24"/>
                <w:szCs w:val="24"/>
              </w:rPr>
              <w:br/>
              <w:t>- Các đơn vị thuộc và trực thuộc Bộ Tài chính;</w:t>
            </w:r>
            <w:r w:rsidRPr="00250695">
              <w:rPr>
                <w:rFonts w:ascii="Times New Roman" w:hAnsi="Times New Roman"/>
                <w:b/>
                <w:bCs/>
                <w:sz w:val="24"/>
                <w:szCs w:val="24"/>
              </w:rPr>
              <w:br/>
            </w:r>
            <w:r w:rsidRPr="00250695">
              <w:rPr>
                <w:rFonts w:ascii="Times New Roman" w:hAnsi="Times New Roman"/>
                <w:sz w:val="24"/>
                <w:szCs w:val="24"/>
              </w:rPr>
              <w:t>- Cục Hải quan tỉnh, thành phố;</w:t>
            </w:r>
            <w:r w:rsidRPr="00250695">
              <w:rPr>
                <w:rFonts w:ascii="Times New Roman" w:hAnsi="Times New Roman"/>
                <w:sz w:val="24"/>
                <w:szCs w:val="24"/>
              </w:rPr>
              <w:br/>
              <w:t>- Công báo;</w:t>
            </w:r>
            <w:r w:rsidRPr="00250695">
              <w:rPr>
                <w:rFonts w:ascii="Times New Roman" w:hAnsi="Times New Roman"/>
                <w:sz w:val="24"/>
                <w:szCs w:val="24"/>
              </w:rPr>
              <w:br/>
              <w:t>- Website Chính phủ và Website Bộ Tài chính;</w:t>
            </w:r>
            <w:r w:rsidRPr="00250695">
              <w:rPr>
                <w:rFonts w:ascii="Times New Roman" w:hAnsi="Times New Roman"/>
                <w:sz w:val="24"/>
                <w:szCs w:val="24"/>
              </w:rPr>
              <w:br/>
              <w:t>- Lưu: VT, Vụ CST (P</w:t>
            </w:r>
            <w:r w:rsidRPr="00250695">
              <w:rPr>
                <w:rFonts w:ascii="Times New Roman" w:hAnsi="Times New Roman"/>
                <w:sz w:val="24"/>
                <w:szCs w:val="24"/>
                <w:vertAlign w:val="subscript"/>
              </w:rPr>
              <w:t>XNK</w:t>
            </w:r>
            <w:r w:rsidRPr="00250695">
              <w:rPr>
                <w:rFonts w:ascii="Times New Roman" w:hAnsi="Times New Roman"/>
                <w:sz w:val="24"/>
                <w:szCs w:val="24"/>
              </w:rPr>
              <w:t>).</w:t>
            </w:r>
          </w:p>
        </w:tc>
        <w:tc>
          <w:tcPr>
            <w:tcW w:w="4128" w:type="dxa"/>
            <w:tcMar>
              <w:top w:w="0" w:type="dxa"/>
              <w:left w:w="108" w:type="dxa"/>
              <w:bottom w:w="0" w:type="dxa"/>
              <w:right w:w="108" w:type="dxa"/>
            </w:tcMa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sz w:val="24"/>
                <w:szCs w:val="24"/>
              </w:rPr>
              <w:t>KT. BỘ TRƯỞNG</w:t>
            </w:r>
            <w:r w:rsidRPr="00250695">
              <w:rPr>
                <w:rFonts w:ascii="Times New Roman" w:hAnsi="Times New Roman"/>
                <w:b/>
                <w:bCs/>
                <w:sz w:val="24"/>
                <w:szCs w:val="24"/>
              </w:rPr>
              <w:br/>
              <w:t>THỨ TRƯỞNG</w:t>
            </w:r>
            <w:r w:rsidRPr="00250695">
              <w:rPr>
                <w:rFonts w:ascii="Times New Roman" w:hAnsi="Times New Roman"/>
                <w:b/>
                <w:bCs/>
                <w:sz w:val="24"/>
                <w:szCs w:val="24"/>
              </w:rPr>
              <w:br/>
            </w:r>
            <w:r w:rsidRPr="00250695">
              <w:rPr>
                <w:rFonts w:ascii="Times New Roman" w:hAnsi="Times New Roman"/>
                <w:b/>
                <w:bCs/>
                <w:sz w:val="24"/>
                <w:szCs w:val="24"/>
              </w:rPr>
              <w:br/>
            </w:r>
            <w:r w:rsidRPr="00250695">
              <w:rPr>
                <w:rFonts w:ascii="Times New Roman" w:hAnsi="Times New Roman"/>
                <w:b/>
                <w:bCs/>
                <w:sz w:val="24"/>
                <w:szCs w:val="24"/>
              </w:rPr>
              <w:br/>
            </w:r>
            <w:r w:rsidRPr="00250695">
              <w:rPr>
                <w:rFonts w:ascii="Times New Roman" w:hAnsi="Times New Roman"/>
                <w:b/>
                <w:bCs/>
                <w:sz w:val="24"/>
                <w:szCs w:val="24"/>
              </w:rPr>
              <w:br/>
            </w:r>
            <w:r w:rsidRPr="00250695">
              <w:rPr>
                <w:rFonts w:ascii="Times New Roman" w:hAnsi="Times New Roman"/>
                <w:b/>
                <w:bCs/>
                <w:sz w:val="24"/>
                <w:szCs w:val="24"/>
              </w:rPr>
              <w:br/>
              <w:t>Vũ Thị Mai</w:t>
            </w:r>
          </w:p>
        </w:tc>
      </w:tr>
    </w:tbl>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sz w:val="24"/>
          <w:szCs w:val="24"/>
        </w:rPr>
        <w:lastRenderedPageBreak/>
        <w:t xml:space="preserve">DANH MỤC </w:t>
      </w:r>
    </w:p>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THUẾ SUẤT THUẾ NHẬP KHẨU ƯU ĐÃI ĐỐI VỚI MỘT SỐ MẶT HÀNG</w:t>
      </w:r>
      <w:r w:rsidRPr="00250695">
        <w:rPr>
          <w:rFonts w:ascii="Times New Roman" w:hAnsi="Times New Roman"/>
          <w:b/>
          <w:bCs/>
          <w:sz w:val="24"/>
          <w:szCs w:val="24"/>
        </w:rPr>
        <w:br/>
      </w:r>
      <w:r w:rsidRPr="00250695">
        <w:rPr>
          <w:rFonts w:ascii="Times New Roman" w:hAnsi="Times New Roman"/>
          <w:i/>
          <w:iCs/>
          <w:sz w:val="24"/>
          <w:szCs w:val="24"/>
        </w:rPr>
        <w:t>(Ban hành kèm theo Thông tư số 38/2013/TT-BTC Ngày 04/4/2013 của Bộ Tài chính)</w:t>
      </w:r>
    </w:p>
    <w:tbl>
      <w:tblPr>
        <w:tblW w:w="0" w:type="auto"/>
        <w:tblCellMar>
          <w:left w:w="0" w:type="dxa"/>
          <w:right w:w="0" w:type="dxa"/>
        </w:tblCellMar>
        <w:tblLook w:val="04A0" w:firstRow="1" w:lastRow="0" w:firstColumn="1" w:lastColumn="0" w:noHBand="0" w:noVBand="1"/>
      </w:tblPr>
      <w:tblGrid>
        <w:gridCol w:w="1588"/>
        <w:gridCol w:w="6237"/>
        <w:gridCol w:w="1417"/>
      </w:tblGrid>
      <w:tr w:rsidR="00250695" w:rsidRPr="00250695" w:rsidTr="00D365B6">
        <w:trPr>
          <w:tblHeader/>
        </w:trPr>
        <w:tc>
          <w:tcPr>
            <w:tcW w:w="15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sz w:val="24"/>
                <w:szCs w:val="24"/>
              </w:rPr>
              <w:t>Mã hàng</w:t>
            </w:r>
          </w:p>
        </w:tc>
        <w:tc>
          <w:tcPr>
            <w:tcW w:w="623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sz w:val="24"/>
                <w:szCs w:val="24"/>
              </w:rPr>
              <w:t>Mô tả hàng hoá</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sz w:val="24"/>
                <w:szCs w:val="24"/>
              </w:rPr>
              <w:t>Thuế suất</w:t>
            </w:r>
          </w:p>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sz w:val="24"/>
                <w:szCs w:val="24"/>
              </w:rPr>
              <w:t>(%)</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sz w:val="24"/>
                <w:szCs w:val="24"/>
              </w:rPr>
              <w:t>39.03</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sz w:val="24"/>
                <w:szCs w:val="24"/>
              </w:rPr>
              <w:t>Polyme từ styren, dạng nguyên sinh.</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Polystyren:</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3903.11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giãn nở được: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3903.11.10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 - - Dạng hạt</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i/>
                <w:iCs/>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3903.11.90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Dạng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3903.19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3903.19.10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Dạng phân tán</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Dạng hạt:</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3903.19.21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 - - - Polystyren loại chịu tác động cao (HIPS)</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i/>
                <w:iCs/>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3903.19.29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 -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i/>
                <w:iCs/>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3903.19.91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 Polystyren loại chịu tác động cao (HIPS)</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3903.19.99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3903.20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Copolyme styren-acrylonitril (SAN):</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3903.20.40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Dạng phân tán trong môi trường nước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10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3903.20.50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Dạng phân tán trong môi trường không chứa nước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3903.20.90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3903.30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Copolyme acrylonitril-butadien-styren (ABS):</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lastRenderedPageBreak/>
              <w:t>3903.30.40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Dạng phân tán trong môi trường nước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8</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3903.30.50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Dạng phân tán trong môi trường không chứa nước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3903.30.60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Dạng hạt</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3</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3903.30.90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3903.90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3903.90.30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Dạng phân tán</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3903.90.91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Polystyren loại chịu tác động cao (HIPS)</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3903.90.99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sz w:val="24"/>
                <w:szCs w:val="24"/>
              </w:rPr>
              <w:t>54.02</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sz w:val="24"/>
                <w:szCs w:val="24"/>
              </w:rPr>
              <w:t>Sợi filament tổng hợp (trừ chỉ khâu), chưa đóng gói để bán lẻ, kể cả sợi monofilament tổng hợp có độ mảnh dưới 67 decitex.</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Sợi có độ bền cao làm từ ni lông hoặc các polyamit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5402.11.00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Từ các aramit</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5402.19.00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5402.20.00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Sợi có độ bền cao từ polyeste</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Sợi dún:</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5402.31.00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Từ ni lông hoặc các polyamit khác, độ mảnh mỗi sợi đơn không quá 50 tex</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5402.32.00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Từ ni lông hoặc các polyamit khác, độ mảnh mỗi sợi đơn trên 50 tex</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lastRenderedPageBreak/>
              <w:t>5402.33.00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Từ các polyeste</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5402.34.00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Từ polypropylen</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5402.39.00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Sợi khác, đơn, không xoắn hoặc xoắn không quá 50 vòng xoắn trên mét:</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5402.44.00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 - Từ nhựa đàn hồi</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i/>
                <w:iCs/>
                <w:sz w:val="24"/>
                <w:szCs w:val="24"/>
              </w:rPr>
              <w:t>3</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5402.45.00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 từ ni lông hoặc từ các polyamit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5402.46.00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 từ các polyeste, được định hướng một phần</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5402.47.00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 từ các polyeste</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5402.48.00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 từ polypropylen</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5402.49.00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Sợi khác, đơn, xoắn trên 50 vòng xoắn trên mét:</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5402.51.00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Từ ni lông hoặc các polyamit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5402.52.00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Từ polyeste</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5402.59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5402.59.10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xml:space="preserve">- - - Từ polypropylene </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5402.59.90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Sợi khác, sợi xe (folded) hoặc sợi cáp:</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5402.61.00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Từ ni lông hoặc các polyamit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5402.62.00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Từ polyeste</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5402.69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lastRenderedPageBreak/>
              <w:t>5402.69.10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xml:space="preserve">- - - Từ polypropylene </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5402.69.90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sz w:val="24"/>
                <w:szCs w:val="24"/>
              </w:rPr>
              <w:t>59.02</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sz w:val="24"/>
                <w:szCs w:val="24"/>
              </w:rPr>
              <w:t>Vải mành dùng làm lốp từ sợi có độ bền cao từ ni lông hoặc các polyamit khác, các polyeste hoặc tơ nhân tạo vitcô.</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5902.10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Từ ni lông hoặc các polyamit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Vải tráng cao su làm mép lốp:</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5902.10.11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lang w:val="da-DK"/>
              </w:rPr>
              <w:t>- - - Từ sợi ni lông 6 (Nylon-6)</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3</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5902.10.19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5902.10.91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lang w:val="da-DK"/>
              </w:rPr>
              <w:t>- - - Từ sợi ni lông 6 (Nylon-6)</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i/>
                <w:iCs/>
                <w:sz w:val="24"/>
                <w:szCs w:val="24"/>
              </w:rPr>
              <w:t>7</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5902.10.99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5902.20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Từ polyeste:</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5902.20.20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Vải tráng cao su làm mép lốp</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5902.20.91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Chứa bông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5902.20.99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i/>
                <w:iCs/>
                <w:sz w:val="24"/>
                <w:szCs w:val="24"/>
              </w:rPr>
              <w:t>3</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5902.90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5902.90.10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Vải tráng cao su làm mép lốp</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5902.90.90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sz w:val="24"/>
                <w:szCs w:val="24"/>
              </w:rPr>
              <w:lastRenderedPageBreak/>
              <w:t>72.17</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sz w:val="24"/>
                <w:szCs w:val="24"/>
              </w:rPr>
              <w:t>Dây của sắt hoặc thép không hợp kim.</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7217.10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Không được mạ hoặc tráng, đã hoặc chưa được đánh bóng: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7217.10.10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Có hàm lượng carbon dưới 0,25% tính theo trọng lượng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15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Có hàm lượng carbon từ 0,25% đến dưới 0,6% tính theo trọng lượng: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7217.10.22</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Dây tanh; thép dây dẹt cuộn tang; thép dây dự ứng lực; dây thép dễ cắt gọt</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7217.10.29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10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Có hàm lượng carbon từ 0,6% trở lên tính theo trọng lượng: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7217.10.31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Dây thép làm nan hoa; dây tanh; thép dây dẹt cuộn tang; thép dây dự ứng lực; dây thép dễ cắt gọt</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7217.10.39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7217.20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Được mạ hoặc tráng kẽm:</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7217.20.10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Chứa hàm lượng carbon dưới 0,25% tính theo trọng lượng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10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7217.20.20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Chứa hàm lượng carbon từ 0,25% đến dưới 0,45% tính theo trọng lượng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Chứa hàm lượng carbon từ 0,45% trở lên tính theo trọng lượng: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7217.20.91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Dây thép dùng làm lõi cho cáp dẫn điện bằng nhôm (ACSR)</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7217.20.99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7217.30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Được mạ hoặc tráng kim loại cơ bản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lastRenderedPageBreak/>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Có hàm lượng carbon dưới 0,25% tính theo trọng lượng: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7217.30.11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Mạ hoặc tráng thiếc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10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7217.30.19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10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Có hàm lượng carbon từ 0,25% đến dưới 0,6% tính theo trọng lượng: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7217.30.21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Mạ hoặc tráng thiếc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7217.30.29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Có hàm lượng carbon từ 0,6% trở lên tính theo trọng lượng: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7217.30.31</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i/>
                <w:iCs/>
                <w:sz w:val="24"/>
                <w:szCs w:val="24"/>
              </w:rPr>
              <w:t>- - - Dây thép carbon cao phủ hợp kim đồng loại dùng để làm tanh lốp cao su loại bơm hơi (dây tanh)</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b/>
                <w:bCs/>
                <w:i/>
                <w:iCs/>
                <w:sz w:val="24"/>
                <w:szCs w:val="24"/>
              </w:rPr>
              <w:t>3</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7217.30.32</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 mạ hoặc tráng thiếc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7217.30.39</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7217.90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 </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7217.90.10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Có hàm lượng carbon dưới 0,25% tính theo trọng lượng</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10</w:t>
            </w:r>
          </w:p>
        </w:tc>
      </w:tr>
      <w:tr w:rsidR="00250695" w:rsidRPr="00250695" w:rsidTr="00D365B6">
        <w:tc>
          <w:tcPr>
            <w:tcW w:w="158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7217.90.90</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sz w:val="24"/>
                <w:szCs w:val="24"/>
              </w:rPr>
              <w:t>- - Loại khác</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50695" w:rsidRPr="00250695" w:rsidRDefault="00250695" w:rsidP="003C21A9">
            <w:pPr>
              <w:pStyle w:val="NormalWeb"/>
              <w:spacing w:after="120" w:afterAutospacing="0" w:line="360" w:lineRule="auto"/>
              <w:jc w:val="center"/>
              <w:rPr>
                <w:rFonts w:ascii="Times New Roman" w:hAnsi="Times New Roman"/>
                <w:sz w:val="24"/>
                <w:szCs w:val="24"/>
              </w:rPr>
            </w:pPr>
            <w:r w:rsidRPr="00250695">
              <w:rPr>
                <w:rFonts w:ascii="Times New Roman" w:hAnsi="Times New Roman"/>
                <w:sz w:val="24"/>
                <w:szCs w:val="24"/>
              </w:rPr>
              <w:t>5</w:t>
            </w:r>
          </w:p>
        </w:tc>
      </w:tr>
    </w:tbl>
    <w:p w:rsidR="00250695" w:rsidRPr="00250695" w:rsidRDefault="00250695" w:rsidP="003C21A9">
      <w:pPr>
        <w:pStyle w:val="NormalWeb"/>
        <w:spacing w:after="120" w:afterAutospacing="0" w:line="360" w:lineRule="auto"/>
        <w:rPr>
          <w:rFonts w:ascii="Times New Roman" w:hAnsi="Times New Roman"/>
          <w:sz w:val="24"/>
          <w:szCs w:val="24"/>
        </w:rPr>
      </w:pPr>
      <w:r w:rsidRPr="00250695">
        <w:rPr>
          <w:rFonts w:ascii="Times New Roman" w:hAnsi="Times New Roman"/>
          <w:b/>
          <w:bCs/>
          <w:sz w:val="24"/>
          <w:szCs w:val="24"/>
        </w:rPr>
        <w:t> </w:t>
      </w:r>
    </w:p>
    <w:p w:rsidR="003C3FB5" w:rsidRPr="00250695" w:rsidRDefault="003C3FB5" w:rsidP="003C21A9">
      <w:pPr>
        <w:spacing w:line="360" w:lineRule="auto"/>
      </w:pPr>
    </w:p>
    <w:sectPr w:rsidR="003C3FB5" w:rsidRPr="00250695" w:rsidSect="003C21A9">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3A" w:rsidRDefault="0028523A" w:rsidP="00D9152F">
      <w:r>
        <w:separator/>
      </w:r>
    </w:p>
  </w:endnote>
  <w:endnote w:type="continuationSeparator" w:id="0">
    <w:p w:rsidR="0028523A" w:rsidRDefault="0028523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0F" w:rsidRDefault="002D3C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A9" w:rsidRPr="00A67571" w:rsidRDefault="003C21A9" w:rsidP="003C21A9">
    <w:pPr>
      <w:pStyle w:val="Footer"/>
      <w:jc w:val="center"/>
    </w:pPr>
    <w:r w:rsidRPr="00A67571">
      <w:rPr>
        <w:b/>
        <w:color w:val="FF0000"/>
      </w:rPr>
      <w:t xml:space="preserve">TỔNG ĐÀI TƯ VẤN PHÁP LUẬT TRỰC TUYẾN </w:t>
    </w:r>
    <w:r>
      <w:rPr>
        <w:b/>
        <w:color w:val="FF0000"/>
      </w:rPr>
      <w:t>24/7: 1900.6568</w:t>
    </w:r>
  </w:p>
  <w:p w:rsidR="00D9152F" w:rsidRPr="003C21A9" w:rsidRDefault="00D9152F" w:rsidP="003C21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0F" w:rsidRDefault="002D3C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3A" w:rsidRDefault="0028523A" w:rsidP="00D9152F">
      <w:r>
        <w:separator/>
      </w:r>
    </w:p>
  </w:footnote>
  <w:footnote w:type="continuationSeparator" w:id="0">
    <w:p w:rsidR="0028523A" w:rsidRDefault="0028523A"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0F" w:rsidRDefault="002D3C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C21A9" w:rsidRPr="00A67571" w:rsidTr="00B375D5">
      <w:trPr>
        <w:trHeight w:val="1208"/>
      </w:trPr>
      <w:tc>
        <w:tcPr>
          <w:tcW w:w="2411" w:type="dxa"/>
          <w:tcBorders>
            <w:top w:val="nil"/>
            <w:left w:val="nil"/>
            <w:bottom w:val="single" w:sz="4" w:space="0" w:color="auto"/>
            <w:right w:val="nil"/>
          </w:tcBorders>
          <w:vAlign w:val="center"/>
          <w:hideMark/>
        </w:tcPr>
        <w:p w:rsidR="003C21A9" w:rsidRPr="00A67571" w:rsidRDefault="003C21A9" w:rsidP="00B375D5">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2D3C0F" w:rsidRDefault="002D3C0F" w:rsidP="002D3C0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D3C0F" w:rsidRDefault="002D3C0F" w:rsidP="002D3C0F">
          <w:pPr>
            <w:rPr>
              <w:sz w:val="20"/>
            </w:rPr>
          </w:pPr>
          <w:r>
            <w:rPr>
              <w:sz w:val="20"/>
            </w:rPr>
            <w:t>89 To Vinh Dien Street, Thanh Xuan District, Hanoi City, Viet Nam</w:t>
          </w:r>
        </w:p>
        <w:p w:rsidR="002D3C0F" w:rsidRDefault="002D3C0F" w:rsidP="002D3C0F">
          <w:pPr>
            <w:rPr>
              <w:sz w:val="20"/>
            </w:rPr>
          </w:pPr>
          <w:r>
            <w:rPr>
              <w:sz w:val="20"/>
            </w:rPr>
            <w:t>Tel:   1900.6568                             Fax: 024.73.000.111</w:t>
          </w:r>
        </w:p>
        <w:p w:rsidR="003C21A9" w:rsidRPr="00A67571" w:rsidRDefault="002D3C0F" w:rsidP="002D3C0F">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3C21A9" w:rsidRPr="00A67571" w:rsidRDefault="003C21A9" w:rsidP="003C21A9">
    <w:pPr>
      <w:pStyle w:val="Header"/>
    </w:pPr>
  </w:p>
  <w:p w:rsidR="002F4299" w:rsidRPr="003C21A9" w:rsidRDefault="0028523A" w:rsidP="003C21A9">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0F" w:rsidRDefault="002D3C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6AE3382"/>
    <w:lvl w:ilvl="0">
      <w:numFmt w:val="bullet"/>
      <w:lvlText w:val="*"/>
      <w:lvlJc w:val="left"/>
    </w:lvl>
  </w:abstractNum>
  <w:abstractNum w:abstractNumId="2" w15:restartNumberingAfterBreak="0">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3" w15:restartNumberingAfterBreak="0">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6"/>
  </w:num>
  <w:num w:numId="5">
    <w:abstractNumId w:val="0"/>
  </w:num>
  <w:num w:numId="6">
    <w:abstractNumId w:val="3"/>
  </w:num>
  <w:num w:numId="7">
    <w:abstractNumId w:val="7"/>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1F5A84"/>
    <w:rsid w:val="00250695"/>
    <w:rsid w:val="0028523A"/>
    <w:rsid w:val="002D3C0F"/>
    <w:rsid w:val="003C21A9"/>
    <w:rsid w:val="003C3FB5"/>
    <w:rsid w:val="00571B54"/>
    <w:rsid w:val="007C3612"/>
    <w:rsid w:val="00817063"/>
    <w:rsid w:val="00B760EC"/>
    <w:rsid w:val="00CF39CA"/>
    <w:rsid w:val="00D9152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2E90B-DBB1-4BBC-9429-76650F68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8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2014-12-09T01:50:00Z</dcterms:created>
  <dcterms:modified xsi:type="dcterms:W3CDTF">2020-09-14T05:04:00Z</dcterms:modified>
</cp:coreProperties>
</file>