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20" w:rightFromText="45" w:vertAnchor="text"/>
        <w:tblW w:w="1500" w:type="pct"/>
        <w:tblCellSpacing w:w="15" w:type="dxa"/>
        <w:tblCellMar>
          <w:top w:w="15" w:type="dxa"/>
          <w:left w:w="15" w:type="dxa"/>
          <w:bottom w:w="15" w:type="dxa"/>
          <w:right w:w="15" w:type="dxa"/>
        </w:tblCellMar>
        <w:tblLook w:val="04A0" w:firstRow="1" w:lastRow="0" w:firstColumn="1" w:lastColumn="0" w:noHBand="0" w:noVBand="1"/>
      </w:tblPr>
      <w:tblGrid>
        <w:gridCol w:w="2835"/>
      </w:tblGrid>
      <w:tr w:rsidR="000F30DD" w:rsidRPr="000F30DD" w:rsidTr="000F30DD">
        <w:trPr>
          <w:tblCellSpacing w:w="15" w:type="dxa"/>
        </w:trPr>
        <w:tc>
          <w:tcPr>
            <w:tcW w:w="1100" w:type="pct"/>
            <w:hideMark/>
          </w:tcPr>
          <w:p w:rsidR="000F30DD" w:rsidRPr="000F30DD" w:rsidRDefault="000F30DD" w:rsidP="000F30DD">
            <w:pPr>
              <w:jc w:val="center"/>
              <w:rPr>
                <w:rFonts w:ascii="Times New Roman" w:hAnsi="Times New Roman"/>
                <w:sz w:val="24"/>
                <w:szCs w:val="24"/>
              </w:rPr>
            </w:pPr>
            <w:r w:rsidRPr="000F30DD">
              <w:rPr>
                <w:rFonts w:ascii="Times New Roman" w:hAnsi="Times New Roman"/>
                <w:b/>
                <w:bCs/>
                <w:sz w:val="24"/>
                <w:szCs w:val="24"/>
              </w:rPr>
              <w:t>BỘ CÔNG AN</w:t>
            </w:r>
          </w:p>
          <w:p w:rsidR="000F30DD" w:rsidRPr="000F30DD" w:rsidRDefault="000F30DD" w:rsidP="000F30DD">
            <w:pPr>
              <w:jc w:val="center"/>
              <w:rPr>
                <w:rFonts w:ascii="Times New Roman" w:hAnsi="Times New Roman"/>
                <w:sz w:val="24"/>
                <w:szCs w:val="24"/>
              </w:rPr>
            </w:pPr>
            <w:r w:rsidRPr="000F30DD">
              <w:rPr>
                <w:rFonts w:ascii="Times New Roman" w:hAnsi="Times New Roman"/>
                <w:sz w:val="24"/>
                <w:szCs w:val="24"/>
              </w:rPr>
              <w:t>Số: 32/2014/TT-BCA-A81</w:t>
            </w:r>
          </w:p>
        </w:tc>
      </w:tr>
    </w:tbl>
    <w:tbl>
      <w:tblPr>
        <w:tblpPr w:leftFromText="45" w:rightFromText="45" w:vertAnchor="text" w:tblpXSpec="right" w:tblpYSpec="center"/>
        <w:tblW w:w="2000" w:type="pct"/>
        <w:tblCellSpacing w:w="15" w:type="dxa"/>
        <w:tblCellMar>
          <w:top w:w="15" w:type="dxa"/>
          <w:left w:w="15" w:type="dxa"/>
          <w:bottom w:w="15" w:type="dxa"/>
          <w:right w:w="15" w:type="dxa"/>
        </w:tblCellMar>
        <w:tblLook w:val="04A0" w:firstRow="1" w:lastRow="0" w:firstColumn="1" w:lastColumn="0" w:noHBand="0" w:noVBand="1"/>
      </w:tblPr>
      <w:tblGrid>
        <w:gridCol w:w="3780"/>
      </w:tblGrid>
      <w:tr w:rsidR="000F30DD" w:rsidRPr="000F30DD" w:rsidTr="000F30DD">
        <w:trPr>
          <w:tblCellSpacing w:w="15" w:type="dxa"/>
        </w:trPr>
        <w:tc>
          <w:tcPr>
            <w:tcW w:w="0" w:type="auto"/>
            <w:vAlign w:val="center"/>
            <w:hideMark/>
          </w:tcPr>
          <w:p w:rsidR="000F30DD" w:rsidRPr="000F30DD" w:rsidRDefault="000F30DD" w:rsidP="000F30DD">
            <w:pPr>
              <w:jc w:val="center"/>
              <w:rPr>
                <w:rFonts w:ascii="Times New Roman" w:hAnsi="Times New Roman"/>
                <w:sz w:val="24"/>
                <w:szCs w:val="24"/>
              </w:rPr>
            </w:pPr>
            <w:r w:rsidRPr="000F30DD">
              <w:rPr>
                <w:rFonts w:ascii="Times New Roman" w:hAnsi="Times New Roman"/>
                <w:b/>
                <w:bCs/>
                <w:sz w:val="24"/>
                <w:szCs w:val="24"/>
              </w:rPr>
              <w:t>CỘNG HOÀ XÃ HỘI CHỦ NGHĨA VIỆT NAM</w:t>
            </w:r>
          </w:p>
          <w:p w:rsidR="000F30DD" w:rsidRPr="000F30DD" w:rsidRDefault="000F30DD" w:rsidP="000F30DD">
            <w:pPr>
              <w:jc w:val="center"/>
              <w:rPr>
                <w:rFonts w:ascii="Times New Roman" w:hAnsi="Times New Roman"/>
                <w:sz w:val="24"/>
                <w:szCs w:val="24"/>
              </w:rPr>
            </w:pPr>
            <w:r w:rsidRPr="000F30DD">
              <w:rPr>
                <w:rFonts w:ascii="Times New Roman" w:hAnsi="Times New Roman"/>
                <w:b/>
                <w:bCs/>
                <w:sz w:val="24"/>
                <w:szCs w:val="24"/>
              </w:rPr>
              <w:t>Độc lập - Tự do - Hạnh phúc</w:t>
            </w:r>
          </w:p>
          <w:p w:rsidR="000F30DD" w:rsidRPr="000F30DD" w:rsidRDefault="000F30DD" w:rsidP="000F30DD">
            <w:pPr>
              <w:jc w:val="center"/>
              <w:rPr>
                <w:rFonts w:ascii="Times New Roman" w:hAnsi="Times New Roman"/>
                <w:sz w:val="24"/>
                <w:szCs w:val="24"/>
              </w:rPr>
            </w:pPr>
            <w:r w:rsidRPr="000F30DD">
              <w:rPr>
                <w:rFonts w:ascii="Times New Roman" w:hAnsi="Times New Roman"/>
                <w:i/>
                <w:iCs/>
                <w:sz w:val="24"/>
                <w:szCs w:val="24"/>
              </w:rPr>
              <w:t>Hà Nội, ngày 25 tháng 7 năm 2014</w:t>
            </w:r>
          </w:p>
        </w:tc>
      </w:tr>
    </w:tbl>
    <w:p w:rsidR="000F30DD" w:rsidRDefault="000F30DD" w:rsidP="000F30DD">
      <w:pPr>
        <w:pStyle w:val="NormalWeb"/>
        <w:jc w:val="center"/>
        <w:rPr>
          <w:rStyle w:val="Strong"/>
          <w:lang w:val="en-US"/>
        </w:rPr>
      </w:pPr>
    </w:p>
    <w:p w:rsidR="000F30DD" w:rsidRDefault="000F30DD" w:rsidP="000F30DD">
      <w:pPr>
        <w:pStyle w:val="NormalWeb"/>
        <w:jc w:val="center"/>
        <w:rPr>
          <w:rStyle w:val="Strong"/>
          <w:lang w:val="en-US"/>
        </w:rPr>
      </w:pPr>
    </w:p>
    <w:p w:rsidR="000F30DD" w:rsidRDefault="000F30DD" w:rsidP="000F30DD">
      <w:pPr>
        <w:pStyle w:val="NormalWeb"/>
        <w:jc w:val="center"/>
        <w:rPr>
          <w:rStyle w:val="Strong"/>
          <w:lang w:val="en-US"/>
        </w:rPr>
      </w:pPr>
    </w:p>
    <w:p w:rsidR="000F30DD" w:rsidRDefault="000F30DD" w:rsidP="000F30DD">
      <w:pPr>
        <w:pStyle w:val="NormalWeb"/>
        <w:jc w:val="center"/>
        <w:rPr>
          <w:rStyle w:val="Strong"/>
          <w:lang w:val="en-US"/>
        </w:rPr>
      </w:pPr>
    </w:p>
    <w:p w:rsidR="000F30DD" w:rsidRPr="000F30DD" w:rsidRDefault="000F30DD" w:rsidP="000F30DD">
      <w:pPr>
        <w:pStyle w:val="NormalWeb"/>
        <w:jc w:val="center"/>
      </w:pPr>
      <w:r w:rsidRPr="000F30DD">
        <w:rPr>
          <w:rStyle w:val="Strong"/>
        </w:rPr>
        <w:t>THÔNG TƯ</w:t>
      </w:r>
    </w:p>
    <w:p w:rsidR="000F30DD" w:rsidRPr="000F30DD" w:rsidRDefault="000F30DD" w:rsidP="000F30DD">
      <w:pPr>
        <w:pStyle w:val="NormalWeb"/>
        <w:jc w:val="center"/>
      </w:pPr>
      <w:r w:rsidRPr="000F30DD">
        <w:rPr>
          <w:rStyle w:val="Strong"/>
        </w:rPr>
        <w:t>Quy định danh mục bí mật nhà nước độ Mật của Hội Nông dân Việt Nam</w:t>
      </w:r>
    </w:p>
    <w:p w:rsidR="000F30DD" w:rsidRPr="000F30DD" w:rsidRDefault="000F30DD" w:rsidP="000F30DD">
      <w:pPr>
        <w:pStyle w:val="NormalWeb"/>
        <w:jc w:val="center"/>
      </w:pPr>
      <w:r w:rsidRPr="000F30DD">
        <w:t>________________</w:t>
      </w:r>
    </w:p>
    <w:p w:rsidR="000F30DD" w:rsidRPr="000F30DD" w:rsidRDefault="000F30DD" w:rsidP="000F30DD">
      <w:pPr>
        <w:pStyle w:val="NormalWeb"/>
      </w:pPr>
      <w:r w:rsidRPr="000F30DD">
        <w:t> </w:t>
      </w:r>
    </w:p>
    <w:p w:rsidR="000F30DD" w:rsidRPr="000F30DD" w:rsidRDefault="000F30DD" w:rsidP="000F30DD">
      <w:pPr>
        <w:pStyle w:val="NormalWeb"/>
      </w:pPr>
      <w:r w:rsidRPr="000F30DD">
        <w:rPr>
          <w:rStyle w:val="Emphasis"/>
        </w:rPr>
        <w:t xml:space="preserve">Căn cứ Pháp lệnh Bảo vệ bí mật nhà nước số </w:t>
      </w:r>
      <w:hyperlink r:id="rId7" w:tgtFrame="_blank" w:history="1">
        <w:r w:rsidRPr="000F30DD">
          <w:rPr>
            <w:rStyle w:val="Hyperlink"/>
            <w:i/>
            <w:iCs/>
          </w:rPr>
          <w:t>30/2000/PL-UBTVQH10,</w:t>
        </w:r>
      </w:hyperlink>
      <w:r w:rsidRPr="000F30DD">
        <w:rPr>
          <w:rStyle w:val="Emphasis"/>
        </w:rPr>
        <w:t xml:space="preserve"> ngày 28 tháng 12 năm 2000 của Ủy ban Thường vụ Quốc hội;</w:t>
      </w:r>
    </w:p>
    <w:p w:rsidR="000F30DD" w:rsidRPr="000F30DD" w:rsidRDefault="000F30DD" w:rsidP="000F30DD">
      <w:pPr>
        <w:pStyle w:val="NormalWeb"/>
      </w:pPr>
      <w:r w:rsidRPr="000F30DD">
        <w:rPr>
          <w:rStyle w:val="Emphasis"/>
        </w:rPr>
        <w:t xml:space="preserve">Căn cứ Nghị định số </w:t>
      </w:r>
      <w:hyperlink r:id="rId8" w:tgtFrame="_blank" w:history="1">
        <w:r w:rsidRPr="000F30DD">
          <w:rPr>
            <w:rStyle w:val="Hyperlink"/>
            <w:i/>
            <w:iCs/>
          </w:rPr>
          <w:t>33/2002/NĐ-CP</w:t>
        </w:r>
      </w:hyperlink>
      <w:r w:rsidRPr="000F30DD">
        <w:rPr>
          <w:rStyle w:val="Emphasis"/>
        </w:rPr>
        <w:t xml:space="preserve"> ngày 28 tháng 3 năm 2002 của Chính phủ quy định chi tiết thi hành Pháp lệnh Bảo vệ bí mật nhà nước;</w:t>
      </w:r>
    </w:p>
    <w:p w:rsidR="000F30DD" w:rsidRPr="000F30DD" w:rsidRDefault="000F30DD" w:rsidP="000F30DD">
      <w:pPr>
        <w:pStyle w:val="NormalWeb"/>
      </w:pPr>
      <w:r w:rsidRPr="000F30DD">
        <w:rPr>
          <w:rStyle w:val="Emphasis"/>
        </w:rPr>
        <w:t xml:space="preserve">Căn cứ Nghị định số </w:t>
      </w:r>
      <w:hyperlink r:id="rId9" w:tgtFrame="_blank" w:history="1">
        <w:r w:rsidRPr="000F30DD">
          <w:rPr>
            <w:rStyle w:val="Hyperlink"/>
            <w:i/>
            <w:iCs/>
          </w:rPr>
          <w:t>77/2009/NĐ-CP</w:t>
        </w:r>
      </w:hyperlink>
      <w:r w:rsidRPr="000F30DD">
        <w:rPr>
          <w:rStyle w:val="Emphasis"/>
        </w:rPr>
        <w:t xml:space="preserve"> ngày 15 tháng 9 năm 2009 của Chính phủ quy định chức năng, nhiệm vụ, quyền hạn và cơ cấu tổ chức của Bộ Công an;</w:t>
      </w:r>
    </w:p>
    <w:p w:rsidR="000F30DD" w:rsidRPr="000F30DD" w:rsidRDefault="000F30DD" w:rsidP="000F30DD">
      <w:pPr>
        <w:pStyle w:val="NormalWeb"/>
      </w:pPr>
      <w:r w:rsidRPr="000F30DD">
        <w:rPr>
          <w:rStyle w:val="Emphasis"/>
        </w:rPr>
        <w:t xml:space="preserve">Căn cứ Nghị định số </w:t>
      </w:r>
      <w:hyperlink r:id="rId10" w:tgtFrame="_blank" w:history="1">
        <w:r w:rsidRPr="000F30DD">
          <w:rPr>
            <w:rStyle w:val="Hyperlink"/>
            <w:i/>
            <w:iCs/>
          </w:rPr>
          <w:t>21/2014/NĐ-CP</w:t>
        </w:r>
      </w:hyperlink>
      <w:r w:rsidRPr="000F30DD">
        <w:rPr>
          <w:rStyle w:val="Emphasis"/>
        </w:rPr>
        <w:t xml:space="preserve"> ngày 25 tháng 3 năm 2014 của Chính phủ sửa đổi Điều 3 Nghị định số </w:t>
      </w:r>
      <w:hyperlink r:id="rId11" w:tgtFrame="_blank" w:history="1">
        <w:r w:rsidRPr="000F30DD">
          <w:rPr>
            <w:rStyle w:val="Hyperlink"/>
            <w:i/>
            <w:iCs/>
          </w:rPr>
          <w:t>77/2009/NĐ-CP</w:t>
        </w:r>
      </w:hyperlink>
      <w:r w:rsidRPr="000F30DD">
        <w:rPr>
          <w:rStyle w:val="Emphasis"/>
        </w:rPr>
        <w:t xml:space="preserve"> ngày 15 tháng 9 năm 2009 của Chính phủ quy định chức năng, nhiệm vụ, quyền hạn và cơ cấu tổ chức của Bộ Công an;</w:t>
      </w:r>
    </w:p>
    <w:p w:rsidR="000F30DD" w:rsidRPr="000F30DD" w:rsidRDefault="000F30DD" w:rsidP="000F30DD">
      <w:pPr>
        <w:pStyle w:val="NormalWeb"/>
      </w:pPr>
      <w:r w:rsidRPr="000F30DD">
        <w:rPr>
          <w:rStyle w:val="Emphasis"/>
        </w:rPr>
        <w:t>Sau khi thống nhất với Chủ tịch Ban Chấp hành Trung ương Hội Nông dân Việt Nam, Bộ trưởng Bộ Công an ban hành Thông tư quy định danh mục bí mật nhà nước độ Mật của Hội Nông dân Việt Nam như sau:</w:t>
      </w:r>
    </w:p>
    <w:p w:rsidR="000F30DD" w:rsidRPr="000F30DD" w:rsidRDefault="000F30DD" w:rsidP="000F30DD">
      <w:pPr>
        <w:pStyle w:val="NormalWeb"/>
      </w:pPr>
      <w:r w:rsidRPr="000F30DD">
        <w:rPr>
          <w:rStyle w:val="Strong"/>
        </w:rPr>
        <w:t xml:space="preserve">Điều </w:t>
      </w:r>
      <w:bookmarkStart w:id="0" w:name="Dieu_1"/>
      <w:bookmarkEnd w:id="0"/>
      <w:r w:rsidRPr="000F30DD">
        <w:rPr>
          <w:rStyle w:val="Strong"/>
        </w:rPr>
        <w:t>1. Danh mục bí mật nhà nước độ Mật của Hội Nông dân Việt Nam gồm các tin, tài liệu trong phạm vi sau:</w:t>
      </w:r>
    </w:p>
    <w:p w:rsidR="000F30DD" w:rsidRPr="000F30DD" w:rsidRDefault="000F30DD" w:rsidP="000F30DD">
      <w:pPr>
        <w:pStyle w:val="NormalWeb"/>
      </w:pPr>
      <w:r w:rsidRPr="000F30DD">
        <w:t>1. Tin, tài liệu, số liệu điều tra, khảo sát về thực trạng tình hình tư tưởng, đời sống của cán bộ, hội viên và nông dân chưa công bố hoặc không công bố.</w:t>
      </w:r>
    </w:p>
    <w:p w:rsidR="000F30DD" w:rsidRPr="000F30DD" w:rsidRDefault="000F30DD" w:rsidP="000F30DD">
      <w:pPr>
        <w:pStyle w:val="NormalWeb"/>
      </w:pPr>
      <w:r w:rsidRPr="000F30DD">
        <w:lastRenderedPageBreak/>
        <w:t>2. Tài liệu, văn bản thẩm định, đánh giá, xử lý về công tác cán bộ của Hội có liên quan đến công tác bảo vệ chính trị nội bộ chưa công bố.</w:t>
      </w:r>
    </w:p>
    <w:p w:rsidR="000F30DD" w:rsidRPr="000F30DD" w:rsidRDefault="000F30DD" w:rsidP="000F30DD">
      <w:pPr>
        <w:pStyle w:val="NormalWeb"/>
      </w:pPr>
      <w:r w:rsidRPr="000F30DD">
        <w:t>3. Nội dung làm việc của các đồng chí lãnh đạo Đảng, Nhà nước với Ban Thường vụ Trung ương Hội về các vấn đề chính trị, nội bộ của Hội Nông dân Việt Nam chưa công bố.</w:t>
      </w:r>
    </w:p>
    <w:p w:rsidR="000F30DD" w:rsidRPr="000F30DD" w:rsidRDefault="000F30DD" w:rsidP="000F30DD">
      <w:pPr>
        <w:pStyle w:val="NormalWeb"/>
      </w:pPr>
      <w:r w:rsidRPr="000F30DD">
        <w:t>4. Nội dung công tác vận động hội viên, nông dân mà Bộ Chính trị, Ban Bí thư giao cho Trung ương Hội Nông dân Việt Nam nghiên cứu chưa công bố.</w:t>
      </w:r>
    </w:p>
    <w:p w:rsidR="000F30DD" w:rsidRPr="000F30DD" w:rsidRDefault="000F30DD" w:rsidP="000F30DD">
      <w:pPr>
        <w:pStyle w:val="NormalWeb"/>
      </w:pPr>
      <w:r w:rsidRPr="000F30DD">
        <w:t>5. Tin, tài liệu của Đảng đoàn Hội Nông dân Việt Nam liên quan đến công tác an ninh, quốc phòng; dân tộc, tôn giáo của Trung ương Hội Nông dân Việt Nam chưa công bố.</w:t>
      </w:r>
    </w:p>
    <w:p w:rsidR="000F30DD" w:rsidRPr="000F30DD" w:rsidRDefault="000F30DD" w:rsidP="000F30DD">
      <w:pPr>
        <w:pStyle w:val="NormalWeb"/>
      </w:pPr>
      <w:r w:rsidRPr="000F30DD">
        <w:t>6. Tin, tài liệu do cá nhân, tổ chức nước ngoài, các tổ chức quốc tế trao đổi với Hội Nông dân Việt Nam mà hai bên thỏa thuận chưa công bố. Chủ trương, giải pháp hoạt động đối ngoại của Trung ương Hội Nông dân Việt Nam chưa công bố.</w:t>
      </w:r>
    </w:p>
    <w:p w:rsidR="000F30DD" w:rsidRPr="000F30DD" w:rsidRDefault="000F30DD" w:rsidP="000F30DD">
      <w:pPr>
        <w:pStyle w:val="NormalWeb"/>
      </w:pPr>
      <w:r w:rsidRPr="000F30DD">
        <w:t>7. Hồ sơ, tài liệu về các vụ việc đang thanh tra, kiểm tra; báo cáo kết quả thanh tra, kiểm tra và kết quả giải quyết khiếu nại, tố cáo trong nội bộ Hội Nông dân các cấp chưa công bố.</w:t>
      </w:r>
    </w:p>
    <w:p w:rsidR="000F30DD" w:rsidRPr="000F30DD" w:rsidRDefault="000F30DD" w:rsidP="000F30DD">
      <w:pPr>
        <w:pStyle w:val="NormalWeb"/>
      </w:pPr>
      <w:r w:rsidRPr="000F30DD">
        <w:t>8. Hồ sơ cán bộ Ban Chấp hành Hội Nông dân cấp tỉnh và Trung ương Hội Nông dân Việt Nam.</w:t>
      </w:r>
    </w:p>
    <w:p w:rsidR="000F30DD" w:rsidRPr="000F30DD" w:rsidRDefault="000F30DD" w:rsidP="000F30DD">
      <w:pPr>
        <w:pStyle w:val="NormalWeb"/>
      </w:pPr>
      <w:r w:rsidRPr="000F30DD">
        <w:t>9. Tài liệu về hệ thống máy tính, cơ sở dữ liệu nội bộ, mật khẩu, quy định, quy ước đảm bảo an ninh, an toàn thông tin của Trung ương Hội Nông dân Việt Nam.</w:t>
      </w:r>
    </w:p>
    <w:p w:rsidR="000F30DD" w:rsidRPr="000F30DD" w:rsidRDefault="000F30DD" w:rsidP="000F30DD">
      <w:pPr>
        <w:pStyle w:val="NormalWeb"/>
        <w:jc w:val="both"/>
      </w:pPr>
      <w:r w:rsidRPr="000F30DD">
        <w:t>10. Tài liệu của Hội Nông dân Việt Nam có sử dụng tin, tài liệu thuộc danh mục bí mật nhà nước độ Mật của các cơ quan, tổ chức khác.</w:t>
      </w:r>
    </w:p>
    <w:p w:rsidR="000F30DD" w:rsidRPr="000F30DD" w:rsidRDefault="000F30DD" w:rsidP="000F30DD">
      <w:pPr>
        <w:pStyle w:val="NormalWeb"/>
      </w:pPr>
      <w:r w:rsidRPr="000F30DD">
        <w:rPr>
          <w:rStyle w:val="Strong"/>
        </w:rPr>
        <w:t xml:space="preserve">Điều </w:t>
      </w:r>
      <w:bookmarkStart w:id="1" w:name="Dieu_2"/>
      <w:bookmarkEnd w:id="1"/>
      <w:r w:rsidRPr="000F30DD">
        <w:rPr>
          <w:rStyle w:val="Strong"/>
        </w:rPr>
        <w:t>2. Hiệu lực thi hành</w:t>
      </w:r>
    </w:p>
    <w:p w:rsidR="000F30DD" w:rsidRPr="000F30DD" w:rsidRDefault="000F30DD" w:rsidP="000F30DD">
      <w:pPr>
        <w:pStyle w:val="NormalWeb"/>
      </w:pPr>
      <w:r w:rsidRPr="000F30DD">
        <w:t xml:space="preserve">Thông tư này có hiệu lực thi hành kể từ ngày 09 tháng 9 năm 2014 và thay thế Quyết định số </w:t>
      </w:r>
      <w:hyperlink r:id="rId12" w:tgtFrame="_blank" w:history="1">
        <w:r w:rsidRPr="000F30DD">
          <w:rPr>
            <w:rStyle w:val="Hyperlink"/>
          </w:rPr>
          <w:t>1305/2004/QĐ-BCA(A11),</w:t>
        </w:r>
      </w:hyperlink>
      <w:r w:rsidRPr="000F30DD">
        <w:t xml:space="preserve"> ngày 12 tháng 11 năm 2004 của Bộ trưởng Bộ Công an về Danh mục bí mật nhà nước độ Mật của Hội Nông dân Việt Nam.</w:t>
      </w:r>
    </w:p>
    <w:p w:rsidR="000F30DD" w:rsidRPr="000F30DD" w:rsidRDefault="000F30DD" w:rsidP="000F30DD">
      <w:pPr>
        <w:pStyle w:val="NormalWeb"/>
      </w:pPr>
      <w:r w:rsidRPr="000F30DD">
        <w:rPr>
          <w:rStyle w:val="Strong"/>
        </w:rPr>
        <w:t xml:space="preserve">Điều </w:t>
      </w:r>
      <w:bookmarkStart w:id="2" w:name="Dieu_3"/>
      <w:bookmarkEnd w:id="2"/>
      <w:r w:rsidRPr="000F30DD">
        <w:rPr>
          <w:rStyle w:val="Strong"/>
        </w:rPr>
        <w:t>3. Trách nhiệm thi hành</w:t>
      </w:r>
    </w:p>
    <w:p w:rsidR="000F30DD" w:rsidRPr="000F30DD" w:rsidRDefault="000F30DD" w:rsidP="000F30DD">
      <w:pPr>
        <w:pStyle w:val="NormalWeb"/>
      </w:pPr>
      <w:r w:rsidRPr="000F30DD">
        <w:t>1. Cơ quan chức năng của Trung ương Hội Nông dân Việt Nam và Bộ Công an có trách nhiệm kiểm tra, hướng dẫn việc thi hành Thông tư này.</w:t>
      </w:r>
    </w:p>
    <w:p w:rsidR="000F30DD" w:rsidRPr="000F30DD" w:rsidRDefault="000F30DD" w:rsidP="000F30DD">
      <w:pPr>
        <w:pStyle w:val="NormalWeb"/>
      </w:pPr>
      <w:r w:rsidRPr="000F30DD">
        <w:lastRenderedPageBreak/>
        <w:t>2. Các bộ, cơ quan ngang bộ, cơ quan thuộc Chính phủ; Ủy ban nhân dân các tỉnh, thành phố trực thuộc Trung ương có trách nhiệm thực hiện Thông tư này./.</w:t>
      </w:r>
    </w:p>
    <w:p w:rsidR="000F30DD" w:rsidRPr="000F30DD" w:rsidRDefault="000F30DD" w:rsidP="000F30DD">
      <w:pPr>
        <w:pStyle w:val="NormalWeb"/>
      </w:pPr>
      <w:r w:rsidRPr="000F30DD">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237"/>
        <w:gridCol w:w="66"/>
        <w:gridCol w:w="66"/>
        <w:gridCol w:w="81"/>
      </w:tblGrid>
      <w:tr w:rsidR="000F30DD" w:rsidRPr="000F30DD" w:rsidTr="000F30DD">
        <w:trPr>
          <w:gridAfter w:val="3"/>
          <w:tblCellSpacing w:w="15" w:type="dxa"/>
        </w:trPr>
        <w:tc>
          <w:tcPr>
            <w:tcW w:w="11625" w:type="dxa"/>
            <w:vAlign w:val="center"/>
            <w:hideMark/>
          </w:tcPr>
          <w:p w:rsidR="000F30DD" w:rsidRPr="000F30DD" w:rsidRDefault="000F30DD" w:rsidP="000F30DD">
            <w:pPr>
              <w:rPr>
                <w:rFonts w:ascii="Times New Roman" w:hAnsi="Times New Roman"/>
                <w:sz w:val="24"/>
                <w:szCs w:val="24"/>
              </w:rPr>
            </w:pPr>
          </w:p>
        </w:tc>
      </w:tr>
      <w:tr w:rsidR="000F30DD" w:rsidRPr="000F30DD" w:rsidTr="000F30DD">
        <w:trPr>
          <w:gridAfter w:val="3"/>
          <w:tblCellSpacing w:w="15" w:type="dxa"/>
        </w:trPr>
        <w:tc>
          <w:tcPr>
            <w:tcW w:w="11625" w:type="dxa"/>
            <w:vAlign w:val="center"/>
            <w:hideMark/>
          </w:tcPr>
          <w:p w:rsidR="000F30DD" w:rsidRPr="000F30DD" w:rsidRDefault="000F30DD" w:rsidP="000F30DD">
            <w:pPr>
              <w:pStyle w:val="NormalWeb"/>
            </w:pPr>
            <w:r w:rsidRPr="000F30DD">
              <w:t xml:space="preserve">Bộ trưởng - Đại tướng </w:t>
            </w:r>
          </w:p>
        </w:tc>
      </w:tr>
      <w:tr w:rsidR="000F30DD" w:rsidRPr="000F30DD" w:rsidTr="000F30DD">
        <w:trPr>
          <w:gridAfter w:val="3"/>
          <w:tblCellSpacing w:w="15" w:type="dxa"/>
        </w:trPr>
        <w:tc>
          <w:tcPr>
            <w:tcW w:w="11625" w:type="dxa"/>
            <w:vAlign w:val="center"/>
            <w:hideMark/>
          </w:tcPr>
          <w:p w:rsidR="000F30DD" w:rsidRPr="000F30DD" w:rsidRDefault="000F30DD" w:rsidP="000F30DD">
            <w:pPr>
              <w:pStyle w:val="NormalWeb"/>
            </w:pPr>
            <w:r w:rsidRPr="000F30DD">
              <w:rPr>
                <w:i/>
                <w:iCs/>
              </w:rPr>
              <w:t>(Đã ký)</w:t>
            </w:r>
          </w:p>
        </w:tc>
      </w:tr>
      <w:tr w:rsidR="000F30DD" w:rsidRPr="000F30DD" w:rsidTr="000F30DD">
        <w:trPr>
          <w:tblCellSpacing w:w="15" w:type="dxa"/>
        </w:trPr>
        <w:tc>
          <w:tcPr>
            <w:tcW w:w="0" w:type="auto"/>
            <w:gridSpan w:val="4"/>
            <w:vAlign w:val="center"/>
            <w:hideMark/>
          </w:tcPr>
          <w:p w:rsidR="000F30DD" w:rsidRPr="000F30DD" w:rsidRDefault="000F30DD" w:rsidP="000F30DD">
            <w:pPr>
              <w:rPr>
                <w:rFonts w:ascii="Times New Roman" w:hAnsi="Times New Roman"/>
                <w:sz w:val="24"/>
                <w:szCs w:val="24"/>
              </w:rPr>
            </w:pPr>
            <w:r w:rsidRPr="000F30DD">
              <w:rPr>
                <w:rFonts w:ascii="Times New Roman" w:hAnsi="Times New Roman"/>
                <w:sz w:val="24"/>
                <w:szCs w:val="24"/>
              </w:rPr>
              <w:t> </w:t>
            </w:r>
          </w:p>
        </w:tc>
      </w:tr>
      <w:tr w:rsidR="000F30DD" w:rsidRPr="000F30DD" w:rsidTr="000F30DD">
        <w:trPr>
          <w:tblCellSpacing w:w="15" w:type="dxa"/>
        </w:trPr>
        <w:tc>
          <w:tcPr>
            <w:tcW w:w="11625" w:type="dxa"/>
            <w:vAlign w:val="center"/>
            <w:hideMark/>
          </w:tcPr>
          <w:p w:rsidR="000F30DD" w:rsidRPr="000F30DD" w:rsidRDefault="000F30DD" w:rsidP="000F30DD">
            <w:pPr>
              <w:pStyle w:val="NormalWeb"/>
            </w:pPr>
            <w:r w:rsidRPr="000F30DD">
              <w:t>Trần Đại Quang</w:t>
            </w:r>
          </w:p>
        </w:tc>
        <w:tc>
          <w:tcPr>
            <w:tcW w:w="0" w:type="auto"/>
            <w:vAlign w:val="center"/>
            <w:hideMark/>
          </w:tcPr>
          <w:p w:rsidR="000F30DD" w:rsidRPr="000F30DD" w:rsidRDefault="000F30DD" w:rsidP="000F30DD">
            <w:pPr>
              <w:rPr>
                <w:rFonts w:ascii="Times New Roman" w:hAnsi="Times New Roman"/>
                <w:sz w:val="24"/>
                <w:szCs w:val="24"/>
              </w:rPr>
            </w:pPr>
          </w:p>
        </w:tc>
        <w:tc>
          <w:tcPr>
            <w:tcW w:w="0" w:type="auto"/>
            <w:vAlign w:val="center"/>
            <w:hideMark/>
          </w:tcPr>
          <w:p w:rsidR="000F30DD" w:rsidRPr="000F30DD" w:rsidRDefault="000F30DD" w:rsidP="000F30DD">
            <w:pPr>
              <w:rPr>
                <w:rFonts w:ascii="Times New Roman" w:hAnsi="Times New Roman"/>
                <w:sz w:val="24"/>
                <w:szCs w:val="24"/>
              </w:rPr>
            </w:pPr>
          </w:p>
        </w:tc>
        <w:tc>
          <w:tcPr>
            <w:tcW w:w="0" w:type="auto"/>
            <w:vAlign w:val="center"/>
            <w:hideMark/>
          </w:tcPr>
          <w:p w:rsidR="000F30DD" w:rsidRPr="000F30DD" w:rsidRDefault="000F30DD" w:rsidP="000F30DD">
            <w:pPr>
              <w:rPr>
                <w:rFonts w:ascii="Times New Roman" w:hAnsi="Times New Roman"/>
                <w:sz w:val="24"/>
                <w:szCs w:val="24"/>
              </w:rPr>
            </w:pPr>
          </w:p>
        </w:tc>
      </w:tr>
    </w:tbl>
    <w:p w:rsidR="00226482" w:rsidRPr="000F30DD" w:rsidRDefault="00226482" w:rsidP="000F30DD">
      <w:pPr>
        <w:rPr>
          <w:rFonts w:ascii="Times New Roman" w:hAnsi="Times New Roman"/>
          <w:sz w:val="24"/>
          <w:szCs w:val="24"/>
        </w:rPr>
      </w:pPr>
    </w:p>
    <w:sectPr w:rsidR="00226482" w:rsidRPr="000F30DD">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700" w:rsidRDefault="00440700" w:rsidP="00A67571">
      <w:pPr>
        <w:spacing w:after="0" w:line="240" w:lineRule="auto"/>
      </w:pPr>
      <w:r>
        <w:separator/>
      </w:r>
    </w:p>
  </w:endnote>
  <w:endnote w:type="continuationSeparator" w:id="0">
    <w:p w:rsidR="00440700" w:rsidRDefault="00440700" w:rsidP="00A67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222" w:rsidRDefault="004E322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571" w:rsidRPr="00A67571" w:rsidRDefault="00A67571" w:rsidP="00A67571">
    <w:pPr>
      <w:pStyle w:val="Footer"/>
      <w:rPr>
        <w:rFonts w:ascii="Times New Roman" w:hAnsi="Times New Roman"/>
      </w:rPr>
    </w:pPr>
    <w:r w:rsidRPr="00A67571">
      <w:rPr>
        <w:rFonts w:ascii="Times New Roman" w:hAnsi="Times New Roman"/>
        <w:b/>
        <w:color w:val="FF0000"/>
      </w:rPr>
      <w:t>TỔNG ĐÀI TƯ VẤN PHÁP LUẬT TRỰC TUYẾN 24/7: 1900.6190 – 1900.6212</w:t>
    </w:r>
  </w:p>
  <w:p w:rsidR="00A67571" w:rsidRPr="00A67571" w:rsidRDefault="00A67571">
    <w:pPr>
      <w:pStyle w:val="Footer"/>
      <w:rPr>
        <w:rFonts w:ascii="Times New Roman" w:hAnsi="Times New Roman"/>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222" w:rsidRDefault="004E322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700" w:rsidRDefault="00440700" w:rsidP="00A67571">
      <w:pPr>
        <w:spacing w:after="0" w:line="240" w:lineRule="auto"/>
      </w:pPr>
      <w:r>
        <w:separator/>
      </w:r>
    </w:p>
  </w:footnote>
  <w:footnote w:type="continuationSeparator" w:id="0">
    <w:p w:rsidR="00440700" w:rsidRDefault="00440700" w:rsidP="00A675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222" w:rsidRDefault="004E322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A67571" w:rsidRPr="00A67571" w:rsidTr="004D651E">
      <w:trPr>
        <w:trHeight w:val="1208"/>
      </w:trPr>
      <w:tc>
        <w:tcPr>
          <w:tcW w:w="2411" w:type="dxa"/>
          <w:tcBorders>
            <w:top w:val="nil"/>
            <w:left w:val="nil"/>
            <w:bottom w:val="single" w:sz="4" w:space="0" w:color="auto"/>
            <w:right w:val="nil"/>
          </w:tcBorders>
          <w:vAlign w:val="center"/>
          <w:hideMark/>
        </w:tcPr>
        <w:p w:rsidR="00A67571" w:rsidRPr="00A67571" w:rsidRDefault="00A67571" w:rsidP="004D651E">
          <w:pPr>
            <w:rPr>
              <w:rFonts w:ascii="Times New Roman" w:hAnsi="Times New Roman"/>
              <w:b/>
              <w:sz w:val="20"/>
            </w:rPr>
          </w:pPr>
          <w:r w:rsidRPr="00A67571">
            <w:rPr>
              <w:rFonts w:ascii="Times New Roman" w:hAnsi="Times New Roman"/>
              <w:b/>
              <w:sz w:val="20"/>
            </w:rPr>
            <w:t xml:space="preserve">        </w:t>
          </w:r>
          <w:r w:rsidR="00DE6795">
            <w:rPr>
              <w:rFonts w:ascii="Times New Roman" w:hAnsi="Times New Roman"/>
              <w:b/>
              <w:noProof/>
              <w:sz w:val="20"/>
            </w:rPr>
            <w:drawing>
              <wp:inline distT="0" distB="0" distL="0" distR="0">
                <wp:extent cx="1428750" cy="866775"/>
                <wp:effectExtent l="1905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4E3222" w:rsidRDefault="004E3222" w:rsidP="004E3222">
          <w:pPr>
            <w:pStyle w:val="Heading6"/>
            <w:spacing w:before="0"/>
            <w:rPr>
              <w:rFonts w:ascii="Times New Roman" w:hAnsi="Times New Roman"/>
              <w:sz w:val="20"/>
            </w:rPr>
          </w:pPr>
          <w:r>
            <w:rPr>
              <w:rFonts w:ascii="Times New Roman" w:hAnsi="Times New Roman"/>
              <w:sz w:val="20"/>
            </w:rPr>
            <w:t xml:space="preserve">CÔNG TY LUẬT TNHH DƯƠNG GIA – DUONG GIA LAW COMPANY LIMITED </w:t>
          </w:r>
        </w:p>
        <w:p w:rsidR="004E3222" w:rsidRDefault="004E3222" w:rsidP="004E3222">
          <w:pPr>
            <w:rPr>
              <w:rFonts w:ascii="Times New Roman" w:hAnsi="Times New Roman"/>
              <w:sz w:val="20"/>
            </w:rPr>
          </w:pPr>
          <w:r>
            <w:rPr>
              <w:rFonts w:ascii="Times New Roman" w:hAnsi="Times New Roman"/>
              <w:sz w:val="20"/>
            </w:rPr>
            <w:t>89 To Vinh Dien Street, Thanh Xuan District, Hanoi City, Viet Nam</w:t>
          </w:r>
        </w:p>
        <w:p w:rsidR="004E3222" w:rsidRDefault="004E3222" w:rsidP="004E3222">
          <w:pPr>
            <w:rPr>
              <w:rFonts w:ascii="Times New Roman" w:hAnsi="Times New Roman"/>
              <w:sz w:val="20"/>
            </w:rPr>
          </w:pPr>
          <w:r>
            <w:rPr>
              <w:rFonts w:ascii="Times New Roman" w:hAnsi="Times New Roman"/>
              <w:sz w:val="20"/>
            </w:rPr>
            <w:t>Tel:   19006568                       Fax: 024.73.000.111</w:t>
          </w:r>
        </w:p>
        <w:p w:rsidR="00A67571" w:rsidRPr="00A67571" w:rsidRDefault="004E3222" w:rsidP="004E3222">
          <w:pPr>
            <w:rPr>
              <w:rFonts w:ascii="Times New Roman" w:hAnsi="Times New Roman"/>
              <w:sz w:val="20"/>
            </w:rPr>
          </w:pPr>
          <w:r>
            <w:rPr>
              <w:rFonts w:ascii="Times New Roman" w:hAnsi="Times New Roman"/>
              <w:sz w:val="20"/>
            </w:rPr>
            <w:t xml:space="preserve">Email: </w:t>
          </w:r>
          <w:hyperlink r:id="rId2" w:history="1">
            <w:r>
              <w:rPr>
                <w:rStyle w:val="Hyperlink"/>
                <w:rFonts w:ascii="Times New Roman" w:hAnsi="Times New Roman"/>
                <w:sz w:val="20"/>
              </w:rPr>
              <w:t>lienhe@luatduonggia.vn</w:t>
            </w:r>
          </w:hyperlink>
          <w:r>
            <w:rPr>
              <w:rFonts w:ascii="Times New Roman" w:hAnsi="Times New Roman"/>
              <w:sz w:val="20"/>
            </w:rPr>
            <w:t xml:space="preserve">    Website: </w:t>
          </w:r>
          <w:hyperlink r:id="rId3" w:history="1">
            <w:r>
              <w:rPr>
                <w:rStyle w:val="Hyperlink"/>
                <w:rFonts w:ascii="Times New Roman" w:hAnsi="Times New Roman"/>
                <w:sz w:val="20"/>
              </w:rPr>
              <w:t>http://www.luatduonggia.vn</w:t>
            </w:r>
          </w:hyperlink>
          <w:bookmarkStart w:id="3" w:name="_GoBack"/>
          <w:bookmarkEnd w:id="3"/>
        </w:p>
      </w:tc>
    </w:tr>
  </w:tbl>
  <w:p w:rsidR="00A67571" w:rsidRPr="00A67571" w:rsidRDefault="00A67571">
    <w:pPr>
      <w:pStyle w:val="Header"/>
      <w:rPr>
        <w:rFonts w:ascii="Times New Roman" w:hAnsi="Times New Roman"/>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222" w:rsidRDefault="004E32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E4506"/>
    <w:rsid w:val="000147A7"/>
    <w:rsid w:val="000F0345"/>
    <w:rsid w:val="000F30DD"/>
    <w:rsid w:val="00130229"/>
    <w:rsid w:val="001666C9"/>
    <w:rsid w:val="00166BD0"/>
    <w:rsid w:val="00185630"/>
    <w:rsid w:val="0019360D"/>
    <w:rsid w:val="001B659F"/>
    <w:rsid w:val="001C2298"/>
    <w:rsid w:val="001C6B28"/>
    <w:rsid w:val="001F5BE9"/>
    <w:rsid w:val="00226482"/>
    <w:rsid w:val="0024209C"/>
    <w:rsid w:val="002B1FE4"/>
    <w:rsid w:val="002E46DF"/>
    <w:rsid w:val="00327D5B"/>
    <w:rsid w:val="00356FE2"/>
    <w:rsid w:val="00392B54"/>
    <w:rsid w:val="00416980"/>
    <w:rsid w:val="00440700"/>
    <w:rsid w:val="00490525"/>
    <w:rsid w:val="00491C41"/>
    <w:rsid w:val="004D651E"/>
    <w:rsid w:val="004E3222"/>
    <w:rsid w:val="004F123F"/>
    <w:rsid w:val="00527A20"/>
    <w:rsid w:val="00546AE3"/>
    <w:rsid w:val="00576C30"/>
    <w:rsid w:val="005B17EE"/>
    <w:rsid w:val="005B1AA4"/>
    <w:rsid w:val="00751AFF"/>
    <w:rsid w:val="007549AB"/>
    <w:rsid w:val="007F60B2"/>
    <w:rsid w:val="00835214"/>
    <w:rsid w:val="008B403B"/>
    <w:rsid w:val="008D7E1C"/>
    <w:rsid w:val="008F2730"/>
    <w:rsid w:val="009060DF"/>
    <w:rsid w:val="0091563C"/>
    <w:rsid w:val="0096277D"/>
    <w:rsid w:val="009B26B6"/>
    <w:rsid w:val="00A3117A"/>
    <w:rsid w:val="00A67571"/>
    <w:rsid w:val="00AB3A34"/>
    <w:rsid w:val="00AB5530"/>
    <w:rsid w:val="00AE4506"/>
    <w:rsid w:val="00B330C7"/>
    <w:rsid w:val="00B505AB"/>
    <w:rsid w:val="00B91024"/>
    <w:rsid w:val="00BC0CCB"/>
    <w:rsid w:val="00BD3C50"/>
    <w:rsid w:val="00D34888"/>
    <w:rsid w:val="00D53AAF"/>
    <w:rsid w:val="00D655C0"/>
    <w:rsid w:val="00DD0830"/>
    <w:rsid w:val="00DD1033"/>
    <w:rsid w:val="00DE6795"/>
    <w:rsid w:val="00E6595F"/>
    <w:rsid w:val="00ED4B00"/>
    <w:rsid w:val="00EF28AE"/>
    <w:rsid w:val="00F13674"/>
    <w:rsid w:val="00F50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8BA122-0A9B-4BE7-ADEE-E2CC28E7B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6">
    <w:name w:val="heading 6"/>
    <w:basedOn w:val="Normal"/>
    <w:next w:val="Normal"/>
    <w:link w:val="Heading6Char"/>
    <w:semiHidden/>
    <w:unhideWhenUsed/>
    <w:qFormat/>
    <w:rsid w:val="00A67571"/>
    <w:pPr>
      <w:spacing w:before="240" w:after="60" w:line="240" w:lineRule="auto"/>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AE4506"/>
    <w:rPr>
      <w:b/>
      <w:bCs/>
    </w:rPr>
  </w:style>
  <w:style w:type="paragraph" w:styleId="NormalWeb">
    <w:name w:val="Normal (Web)"/>
    <w:basedOn w:val="Normal"/>
    <w:uiPriority w:val="99"/>
    <w:unhideWhenUsed/>
    <w:rsid w:val="000F0345"/>
    <w:pPr>
      <w:spacing w:before="100" w:beforeAutospacing="1" w:after="100" w:afterAutospacing="1" w:line="240" w:lineRule="auto"/>
    </w:pPr>
    <w:rPr>
      <w:rFonts w:ascii="Times New Roman" w:eastAsia="Times New Roman" w:hAnsi="Times New Roman"/>
      <w:sz w:val="24"/>
      <w:szCs w:val="24"/>
      <w:lang w:val="vi-VN" w:eastAsia="zh-TW"/>
    </w:rPr>
  </w:style>
  <w:style w:type="character" w:styleId="Hyperlink">
    <w:name w:val="Hyperlink"/>
    <w:uiPriority w:val="99"/>
    <w:unhideWhenUsed/>
    <w:rsid w:val="000F0345"/>
    <w:rPr>
      <w:color w:val="0000FF"/>
      <w:u w:val="single"/>
    </w:rPr>
  </w:style>
  <w:style w:type="paragraph" w:styleId="Header">
    <w:name w:val="header"/>
    <w:basedOn w:val="Normal"/>
    <w:link w:val="HeaderChar"/>
    <w:unhideWhenUsed/>
    <w:rsid w:val="00A67571"/>
    <w:pPr>
      <w:tabs>
        <w:tab w:val="center" w:pos="4680"/>
        <w:tab w:val="right" w:pos="9360"/>
      </w:tabs>
    </w:pPr>
  </w:style>
  <w:style w:type="character" w:customStyle="1" w:styleId="HeaderChar">
    <w:name w:val="Header Char"/>
    <w:link w:val="Header"/>
    <w:rsid w:val="00A67571"/>
    <w:rPr>
      <w:sz w:val="22"/>
      <w:szCs w:val="22"/>
    </w:rPr>
  </w:style>
  <w:style w:type="paragraph" w:styleId="Footer">
    <w:name w:val="footer"/>
    <w:basedOn w:val="Normal"/>
    <w:link w:val="FooterChar"/>
    <w:uiPriority w:val="99"/>
    <w:unhideWhenUsed/>
    <w:rsid w:val="00A67571"/>
    <w:pPr>
      <w:tabs>
        <w:tab w:val="center" w:pos="4680"/>
        <w:tab w:val="right" w:pos="9360"/>
      </w:tabs>
    </w:pPr>
  </w:style>
  <w:style w:type="character" w:customStyle="1" w:styleId="FooterChar">
    <w:name w:val="Footer Char"/>
    <w:link w:val="Footer"/>
    <w:uiPriority w:val="99"/>
    <w:rsid w:val="00A67571"/>
    <w:rPr>
      <w:sz w:val="22"/>
      <w:szCs w:val="22"/>
    </w:rPr>
  </w:style>
  <w:style w:type="character" w:customStyle="1" w:styleId="Heading6Char">
    <w:name w:val="Heading 6 Char"/>
    <w:link w:val="Heading6"/>
    <w:semiHidden/>
    <w:rsid w:val="00A67571"/>
    <w:rPr>
      <w:rFonts w:eastAsia="Times New Roman"/>
      <w:b/>
      <w:bCs/>
      <w:sz w:val="22"/>
      <w:szCs w:val="22"/>
    </w:rPr>
  </w:style>
  <w:style w:type="character" w:styleId="FollowedHyperlink">
    <w:name w:val="FollowedHyperlink"/>
    <w:uiPriority w:val="99"/>
    <w:semiHidden/>
    <w:unhideWhenUsed/>
    <w:rsid w:val="00F50732"/>
    <w:rPr>
      <w:color w:val="800080"/>
      <w:u w:val="single"/>
    </w:rPr>
  </w:style>
  <w:style w:type="character" w:customStyle="1" w:styleId="apple-converted-space">
    <w:name w:val="apple-converted-space"/>
    <w:rsid w:val="00226482"/>
  </w:style>
  <w:style w:type="character" w:styleId="Emphasis">
    <w:name w:val="Emphasis"/>
    <w:basedOn w:val="DefaultParagraphFont"/>
    <w:uiPriority w:val="20"/>
    <w:qFormat/>
    <w:rsid w:val="00DE6795"/>
    <w:rPr>
      <w:i/>
      <w:iCs/>
    </w:rPr>
  </w:style>
  <w:style w:type="paragraph" w:styleId="BalloonText">
    <w:name w:val="Balloon Text"/>
    <w:basedOn w:val="Normal"/>
    <w:link w:val="BalloonTextChar"/>
    <w:uiPriority w:val="99"/>
    <w:semiHidden/>
    <w:unhideWhenUsed/>
    <w:rsid w:val="00D348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8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751768">
      <w:bodyDiv w:val="1"/>
      <w:marLeft w:val="0"/>
      <w:marRight w:val="0"/>
      <w:marTop w:val="0"/>
      <w:marBottom w:val="0"/>
      <w:divBdr>
        <w:top w:val="none" w:sz="0" w:space="0" w:color="auto"/>
        <w:left w:val="none" w:sz="0" w:space="0" w:color="auto"/>
        <w:bottom w:val="none" w:sz="0" w:space="0" w:color="auto"/>
        <w:right w:val="none" w:sz="0" w:space="0" w:color="auto"/>
      </w:divBdr>
    </w:div>
    <w:div w:id="364907317">
      <w:bodyDiv w:val="1"/>
      <w:marLeft w:val="0"/>
      <w:marRight w:val="0"/>
      <w:marTop w:val="0"/>
      <w:marBottom w:val="0"/>
      <w:divBdr>
        <w:top w:val="none" w:sz="0" w:space="0" w:color="auto"/>
        <w:left w:val="none" w:sz="0" w:space="0" w:color="auto"/>
        <w:bottom w:val="none" w:sz="0" w:space="0" w:color="auto"/>
        <w:right w:val="none" w:sz="0" w:space="0" w:color="auto"/>
      </w:divBdr>
      <w:divsChild>
        <w:div w:id="554270199">
          <w:marLeft w:val="0"/>
          <w:marRight w:val="0"/>
          <w:marTop w:val="104"/>
          <w:marBottom w:val="0"/>
          <w:divBdr>
            <w:top w:val="none" w:sz="0" w:space="0" w:color="auto"/>
            <w:left w:val="none" w:sz="0" w:space="0" w:color="auto"/>
            <w:bottom w:val="none" w:sz="0" w:space="0" w:color="auto"/>
            <w:right w:val="none" w:sz="0" w:space="0" w:color="auto"/>
          </w:divBdr>
        </w:div>
        <w:div w:id="651448659">
          <w:marLeft w:val="0"/>
          <w:marRight w:val="0"/>
          <w:marTop w:val="0"/>
          <w:marBottom w:val="0"/>
          <w:divBdr>
            <w:top w:val="none" w:sz="0" w:space="0" w:color="auto"/>
            <w:left w:val="none" w:sz="0" w:space="0" w:color="auto"/>
            <w:bottom w:val="none" w:sz="0" w:space="0" w:color="auto"/>
            <w:right w:val="none" w:sz="0" w:space="0" w:color="auto"/>
          </w:divBdr>
        </w:div>
        <w:div w:id="2139377870">
          <w:marLeft w:val="0"/>
          <w:marRight w:val="0"/>
          <w:marTop w:val="0"/>
          <w:marBottom w:val="0"/>
          <w:divBdr>
            <w:top w:val="none" w:sz="0" w:space="0" w:color="auto"/>
            <w:left w:val="none" w:sz="0" w:space="0" w:color="auto"/>
            <w:bottom w:val="none" w:sz="0" w:space="0" w:color="auto"/>
            <w:right w:val="none" w:sz="0" w:space="0" w:color="auto"/>
          </w:divBdr>
        </w:div>
      </w:divsChild>
    </w:div>
    <w:div w:id="423037907">
      <w:bodyDiv w:val="1"/>
      <w:marLeft w:val="0"/>
      <w:marRight w:val="0"/>
      <w:marTop w:val="0"/>
      <w:marBottom w:val="0"/>
      <w:divBdr>
        <w:top w:val="none" w:sz="0" w:space="0" w:color="auto"/>
        <w:left w:val="none" w:sz="0" w:space="0" w:color="auto"/>
        <w:bottom w:val="none" w:sz="0" w:space="0" w:color="auto"/>
        <w:right w:val="none" w:sz="0" w:space="0" w:color="auto"/>
      </w:divBdr>
      <w:divsChild>
        <w:div w:id="889923579">
          <w:marLeft w:val="0"/>
          <w:marRight w:val="0"/>
          <w:marTop w:val="104"/>
          <w:marBottom w:val="0"/>
          <w:divBdr>
            <w:top w:val="none" w:sz="0" w:space="0" w:color="auto"/>
            <w:left w:val="none" w:sz="0" w:space="0" w:color="auto"/>
            <w:bottom w:val="none" w:sz="0" w:space="0" w:color="auto"/>
            <w:right w:val="none" w:sz="0" w:space="0" w:color="auto"/>
          </w:divBdr>
        </w:div>
        <w:div w:id="1521041756">
          <w:marLeft w:val="0"/>
          <w:marRight w:val="0"/>
          <w:marTop w:val="0"/>
          <w:marBottom w:val="0"/>
          <w:divBdr>
            <w:top w:val="none" w:sz="0" w:space="0" w:color="auto"/>
            <w:left w:val="none" w:sz="0" w:space="0" w:color="auto"/>
            <w:bottom w:val="none" w:sz="0" w:space="0" w:color="auto"/>
            <w:right w:val="none" w:sz="0" w:space="0" w:color="auto"/>
          </w:divBdr>
        </w:div>
        <w:div w:id="228539917">
          <w:marLeft w:val="0"/>
          <w:marRight w:val="0"/>
          <w:marTop w:val="0"/>
          <w:marBottom w:val="0"/>
          <w:divBdr>
            <w:top w:val="none" w:sz="0" w:space="0" w:color="auto"/>
            <w:left w:val="none" w:sz="0" w:space="0" w:color="auto"/>
            <w:bottom w:val="none" w:sz="0" w:space="0" w:color="auto"/>
            <w:right w:val="none" w:sz="0" w:space="0" w:color="auto"/>
          </w:divBdr>
        </w:div>
      </w:divsChild>
    </w:div>
    <w:div w:id="513880954">
      <w:bodyDiv w:val="1"/>
      <w:marLeft w:val="0"/>
      <w:marRight w:val="0"/>
      <w:marTop w:val="0"/>
      <w:marBottom w:val="0"/>
      <w:divBdr>
        <w:top w:val="none" w:sz="0" w:space="0" w:color="auto"/>
        <w:left w:val="none" w:sz="0" w:space="0" w:color="auto"/>
        <w:bottom w:val="none" w:sz="0" w:space="0" w:color="auto"/>
        <w:right w:val="none" w:sz="0" w:space="0" w:color="auto"/>
      </w:divBdr>
      <w:divsChild>
        <w:div w:id="1647927504">
          <w:marLeft w:val="0"/>
          <w:marRight w:val="0"/>
          <w:marTop w:val="150"/>
          <w:marBottom w:val="0"/>
          <w:divBdr>
            <w:top w:val="none" w:sz="0" w:space="0" w:color="auto"/>
            <w:left w:val="none" w:sz="0" w:space="0" w:color="auto"/>
            <w:bottom w:val="none" w:sz="0" w:space="0" w:color="auto"/>
            <w:right w:val="none" w:sz="0" w:space="0" w:color="auto"/>
          </w:divBdr>
        </w:div>
        <w:div w:id="1067190663">
          <w:marLeft w:val="0"/>
          <w:marRight w:val="0"/>
          <w:marTop w:val="0"/>
          <w:marBottom w:val="0"/>
          <w:divBdr>
            <w:top w:val="none" w:sz="0" w:space="0" w:color="auto"/>
            <w:left w:val="none" w:sz="0" w:space="0" w:color="auto"/>
            <w:bottom w:val="none" w:sz="0" w:space="0" w:color="auto"/>
            <w:right w:val="none" w:sz="0" w:space="0" w:color="auto"/>
          </w:divBdr>
        </w:div>
        <w:div w:id="240913626">
          <w:marLeft w:val="0"/>
          <w:marRight w:val="0"/>
          <w:marTop w:val="0"/>
          <w:marBottom w:val="0"/>
          <w:divBdr>
            <w:top w:val="none" w:sz="0" w:space="0" w:color="auto"/>
            <w:left w:val="none" w:sz="0" w:space="0" w:color="auto"/>
            <w:bottom w:val="none" w:sz="0" w:space="0" w:color="auto"/>
            <w:right w:val="none" w:sz="0" w:space="0" w:color="auto"/>
          </w:divBdr>
        </w:div>
      </w:divsChild>
    </w:div>
    <w:div w:id="836386636">
      <w:bodyDiv w:val="1"/>
      <w:marLeft w:val="0"/>
      <w:marRight w:val="0"/>
      <w:marTop w:val="0"/>
      <w:marBottom w:val="0"/>
      <w:divBdr>
        <w:top w:val="none" w:sz="0" w:space="0" w:color="auto"/>
        <w:left w:val="none" w:sz="0" w:space="0" w:color="auto"/>
        <w:bottom w:val="none" w:sz="0" w:space="0" w:color="auto"/>
        <w:right w:val="none" w:sz="0" w:space="0" w:color="auto"/>
      </w:divBdr>
    </w:div>
    <w:div w:id="1452161710">
      <w:bodyDiv w:val="1"/>
      <w:marLeft w:val="0"/>
      <w:marRight w:val="0"/>
      <w:marTop w:val="0"/>
      <w:marBottom w:val="0"/>
      <w:divBdr>
        <w:top w:val="none" w:sz="0" w:space="0" w:color="auto"/>
        <w:left w:val="none" w:sz="0" w:space="0" w:color="auto"/>
        <w:bottom w:val="none" w:sz="0" w:space="0" w:color="auto"/>
        <w:right w:val="none" w:sz="0" w:space="0" w:color="auto"/>
      </w:divBdr>
    </w:div>
    <w:div w:id="1585796050">
      <w:bodyDiv w:val="1"/>
      <w:marLeft w:val="0"/>
      <w:marRight w:val="0"/>
      <w:marTop w:val="0"/>
      <w:marBottom w:val="0"/>
      <w:divBdr>
        <w:top w:val="none" w:sz="0" w:space="0" w:color="auto"/>
        <w:left w:val="none" w:sz="0" w:space="0" w:color="auto"/>
        <w:bottom w:val="none" w:sz="0" w:space="0" w:color="auto"/>
        <w:right w:val="none" w:sz="0" w:space="0" w:color="auto"/>
      </w:divBdr>
      <w:divsChild>
        <w:div w:id="867107889">
          <w:marLeft w:val="0"/>
          <w:marRight w:val="0"/>
          <w:marTop w:val="150"/>
          <w:marBottom w:val="0"/>
          <w:divBdr>
            <w:top w:val="none" w:sz="0" w:space="0" w:color="auto"/>
            <w:left w:val="none" w:sz="0" w:space="0" w:color="auto"/>
            <w:bottom w:val="none" w:sz="0" w:space="0" w:color="auto"/>
            <w:right w:val="none" w:sz="0" w:space="0" w:color="auto"/>
          </w:divBdr>
        </w:div>
        <w:div w:id="1145506092">
          <w:marLeft w:val="0"/>
          <w:marRight w:val="0"/>
          <w:marTop w:val="0"/>
          <w:marBottom w:val="0"/>
          <w:divBdr>
            <w:top w:val="none" w:sz="0" w:space="0" w:color="auto"/>
            <w:left w:val="none" w:sz="0" w:space="0" w:color="auto"/>
            <w:bottom w:val="none" w:sz="0" w:space="0" w:color="auto"/>
            <w:right w:val="none" w:sz="0" w:space="0" w:color="auto"/>
          </w:divBdr>
        </w:div>
        <w:div w:id="16230762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bpl.vn/TW/pages/vbpq-timkiem.aspx?type=0&amp;s=1&amp;Keyword=33/2002/N%C4%90-CP&amp;SearchIn=Title,Title1&amp;IsRec=1"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vbpl.vn/TW/pages/vbpq-timkiem.aspx?type=0&amp;s=1&amp;Keyword=30/2000/PL-UBTVQH10,&amp;SearchIn=Title,Title1&amp;IsRec=1" TargetMode="External"/><Relationship Id="rId12" Type="http://schemas.openxmlformats.org/officeDocument/2006/relationships/hyperlink" Target="http://vbpl.vn/TW/pages/vbpq-timkiem.aspx?type=0&amp;s=1&amp;Keyword=1305/2004/Q%C4%90-BCA%28A11%29,&amp;SearchIn=Title,Title1&amp;IsRec=1"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vbpl.vn/TW/pages/vbpq-timkiem.aspx?type=0&amp;s=1&amp;Keyword=77/2009/N%C4%90-CP&amp;SearchIn=Title,Title1&amp;IsRec=1"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vbpl.vn/TW/pages/vbpq-timkiem.aspx?type=0&amp;s=1&amp;Keyword=21/2014/N%C4%90-CP&amp;SearchIn=Title,Title1&amp;IsRec=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vbpl.vn/TW/pages/vbpq-timkiem.aspx?type=0&amp;s=1&amp;Keyword=77/2009/N%C4%90-CP&amp;SearchIn=Title,Title1&amp;IsRec=1"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08474-66EF-4648-A703-D0007701B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627</Words>
  <Characters>3575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4194</CharactersWithSpaces>
  <SharedDoc>false</SharedDoc>
  <HLinks>
    <vt:vector size="12" baseType="variant">
      <vt:variant>
        <vt:i4>6488122</vt:i4>
      </vt:variant>
      <vt:variant>
        <vt:i4>3</vt:i4>
      </vt:variant>
      <vt:variant>
        <vt:i4>0</vt:i4>
      </vt:variant>
      <vt:variant>
        <vt:i4>5</vt:i4>
      </vt:variant>
      <vt:variant>
        <vt:lpwstr>http://www.luatduonggia.vn/</vt:lpwstr>
      </vt:variant>
      <vt:variant>
        <vt:lpwstr/>
      </vt:variant>
      <vt:variant>
        <vt:i4>2686990</vt:i4>
      </vt:variant>
      <vt:variant>
        <vt:i4>0</vt:i4>
      </vt:variant>
      <vt:variant>
        <vt:i4>0</vt:i4>
      </vt:variant>
      <vt:variant>
        <vt:i4>5</vt:i4>
      </vt:variant>
      <vt:variant>
        <vt:lpwstr>mailto:lienhe@luatduonggia.vn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Khatmau_sr</dc:creator>
  <cp:lastModifiedBy>Admin</cp:lastModifiedBy>
  <cp:revision>3</cp:revision>
  <dcterms:created xsi:type="dcterms:W3CDTF">2014-12-31T10:48:00Z</dcterms:created>
  <dcterms:modified xsi:type="dcterms:W3CDTF">2020-08-28T09:19:00Z</dcterms:modified>
</cp:coreProperties>
</file>