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436"/>
        <w:gridCol w:w="6028"/>
      </w:tblGrid>
      <w:tr w:rsidR="0021543A" w:rsidRPr="005311DD" w:rsidTr="005311DD">
        <w:trPr>
          <w:tblCellSpacing w:w="0" w:type="dxa"/>
        </w:trPr>
        <w:tc>
          <w:tcPr>
            <w:tcW w:w="3436" w:type="dxa"/>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BỘ TÀI CHÍNH</w:t>
            </w:r>
            <w:r w:rsidRPr="005311DD">
              <w:rPr>
                <w:rFonts w:ascii="Times New Roman" w:eastAsia="Times New Roman" w:hAnsi="Times New Roman" w:cs="Times New Roman"/>
                <w:b/>
                <w:bCs/>
                <w:color w:val="000000"/>
                <w:sz w:val="24"/>
                <w:szCs w:val="24"/>
              </w:rPr>
              <w:br/>
              <w:t>-------</w:t>
            </w:r>
          </w:p>
        </w:tc>
        <w:tc>
          <w:tcPr>
            <w:tcW w:w="6028" w:type="dxa"/>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CỘNG HÒA XÃ HỘI CHỦ NGHĨA VIỆT NAM</w:t>
            </w:r>
            <w:r w:rsidRPr="005311DD">
              <w:rPr>
                <w:rFonts w:ascii="Times New Roman" w:eastAsia="Times New Roman" w:hAnsi="Times New Roman" w:cs="Times New Roman"/>
                <w:b/>
                <w:bCs/>
                <w:color w:val="000000"/>
                <w:sz w:val="24"/>
                <w:szCs w:val="24"/>
              </w:rPr>
              <w:br/>
              <w:t>Độc lập – Tự do – Hạnh phúc</w:t>
            </w:r>
            <w:r w:rsidRPr="005311DD">
              <w:rPr>
                <w:rFonts w:ascii="Times New Roman" w:eastAsia="Times New Roman" w:hAnsi="Times New Roman" w:cs="Times New Roman"/>
                <w:b/>
                <w:bCs/>
                <w:color w:val="000000"/>
                <w:sz w:val="24"/>
                <w:szCs w:val="24"/>
              </w:rPr>
              <w:br/>
              <w:t>--------------</w:t>
            </w:r>
          </w:p>
        </w:tc>
      </w:tr>
      <w:tr w:rsidR="0021543A" w:rsidRPr="005311DD" w:rsidTr="005311DD">
        <w:trPr>
          <w:tblCellSpacing w:w="0" w:type="dxa"/>
        </w:trPr>
        <w:tc>
          <w:tcPr>
            <w:tcW w:w="3436" w:type="dxa"/>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Số: 184/2009/TT-BTC</w:t>
            </w:r>
          </w:p>
        </w:tc>
        <w:tc>
          <w:tcPr>
            <w:tcW w:w="6028" w:type="dxa"/>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i/>
                <w:iCs/>
                <w:color w:val="000000"/>
                <w:sz w:val="24"/>
                <w:szCs w:val="24"/>
              </w:rPr>
              <w:t>Hà Nội, ngày 15 tháng 09 năm 2009</w:t>
            </w:r>
          </w:p>
        </w:tc>
      </w:tr>
    </w:tbl>
    <w:p w:rsidR="0021543A" w:rsidRPr="005311DD" w:rsidRDefault="0021543A" w:rsidP="005311DD">
      <w:pPr>
        <w:shd w:val="clear" w:color="auto" w:fill="FFFFFF"/>
        <w:spacing w:before="120" w:after="0" w:line="360" w:lineRule="auto"/>
        <w:jc w:val="center"/>
        <w:rPr>
          <w:rFonts w:ascii="Times New Roman" w:eastAsia="Times New Roman" w:hAnsi="Times New Roman" w:cs="Times New Roman"/>
          <w:color w:val="000000"/>
          <w:sz w:val="24"/>
          <w:szCs w:val="24"/>
        </w:rPr>
      </w:pPr>
    </w:p>
    <w:p w:rsidR="0021543A" w:rsidRPr="005311DD" w:rsidRDefault="0021543A" w:rsidP="005311DD">
      <w:pPr>
        <w:shd w:val="clear" w:color="auto" w:fill="FFFFFF"/>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THÔNG TƯ</w:t>
      </w:r>
    </w:p>
    <w:p w:rsidR="0021543A" w:rsidRPr="005311DD" w:rsidRDefault="0021543A" w:rsidP="005311DD">
      <w:pPr>
        <w:shd w:val="clear" w:color="auto" w:fill="FFFFFF"/>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QUY ĐỊNH CHẾ ĐỘ THU, NỘP VÀ QUẢN LÝ SỬ DỤNG LỆ PHÍ CẤP GIẤY PHÉP HOẠT ĐỘNG KHOÁNG SẢN, LỆ PHÍ ĐỘC QUYỀN THĂM DÒ KHOÁNG SẢN</w:t>
      </w:r>
    </w:p>
    <w:p w:rsidR="005311DD" w:rsidRDefault="0021543A" w:rsidP="005311DD">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5311DD">
        <w:rPr>
          <w:rFonts w:ascii="Times New Roman" w:eastAsia="Times New Roman" w:hAnsi="Times New Roman" w:cs="Times New Roman"/>
          <w:i/>
          <w:iCs/>
          <w:color w:val="000000"/>
          <w:sz w:val="24"/>
          <w:szCs w:val="24"/>
        </w:rPr>
        <w:t>Căn cứ Nghị định số </w:t>
      </w:r>
      <w:r w:rsidR="005311DD">
        <w:rPr>
          <w:rFonts w:ascii="Times New Roman" w:hAnsi="Times New Roman" w:cs="Times New Roman"/>
          <w:sz w:val="24"/>
          <w:szCs w:val="24"/>
          <w:lang w:val="vi-VN"/>
        </w:rPr>
        <w:t>57/2002/NĐ-CP</w:t>
      </w:r>
      <w:r w:rsidRPr="005311DD">
        <w:rPr>
          <w:rFonts w:ascii="Times New Roman" w:eastAsia="Times New Roman" w:hAnsi="Times New Roman" w:cs="Times New Roman"/>
          <w:i/>
          <w:iCs/>
          <w:color w:val="000000"/>
          <w:sz w:val="24"/>
          <w:szCs w:val="24"/>
        </w:rPr>
        <w:t> ngày 03/6/2002 và Nghị định số </w:t>
      </w:r>
      <w:r w:rsidR="005311DD">
        <w:rPr>
          <w:rFonts w:ascii="Times New Roman" w:hAnsi="Times New Roman" w:cs="Times New Roman"/>
          <w:sz w:val="24"/>
          <w:szCs w:val="24"/>
          <w:lang w:val="vi-VN"/>
        </w:rPr>
        <w:t>24/2006/NĐ-CP</w:t>
      </w:r>
      <w:r w:rsidRPr="005311DD">
        <w:rPr>
          <w:rFonts w:ascii="Times New Roman" w:eastAsia="Times New Roman" w:hAnsi="Times New Roman" w:cs="Times New Roman"/>
          <w:i/>
          <w:iCs/>
          <w:color w:val="000000"/>
          <w:sz w:val="24"/>
          <w:szCs w:val="24"/>
        </w:rPr>
        <w:t> ngày 06/3/2006 sửa đổi, bổ sung một số điều của Nghị định số </w:t>
      </w:r>
      <w:r w:rsidR="005311DD">
        <w:rPr>
          <w:rFonts w:ascii="Times New Roman" w:hAnsi="Times New Roman" w:cs="Times New Roman"/>
          <w:sz w:val="24"/>
          <w:szCs w:val="24"/>
          <w:lang w:val="vi-VN"/>
        </w:rPr>
        <w:t>57/2002/NĐ-CP</w:t>
      </w:r>
      <w:r w:rsidRPr="005311DD">
        <w:rPr>
          <w:rFonts w:ascii="Times New Roman" w:eastAsia="Times New Roman" w:hAnsi="Times New Roman" w:cs="Times New Roman"/>
          <w:i/>
          <w:iCs/>
          <w:color w:val="000000"/>
          <w:sz w:val="24"/>
          <w:szCs w:val="24"/>
        </w:rPr>
        <w:t> ngày 03/6/2002 của Chính phủ quy định chi tiết thi hành Pháp lệnh phí và lệ phí;</w:t>
      </w:r>
      <w:r w:rsidRPr="005311DD">
        <w:rPr>
          <w:rFonts w:ascii="Times New Roman" w:eastAsia="Times New Roman" w:hAnsi="Times New Roman" w:cs="Times New Roman"/>
          <w:i/>
          <w:iCs/>
          <w:color w:val="000000"/>
          <w:sz w:val="24"/>
          <w:szCs w:val="24"/>
        </w:rPr>
        <w:br/>
        <w:t>Căn cứ Nghị định số </w:t>
      </w:r>
      <w:r w:rsidR="005311DD">
        <w:rPr>
          <w:rFonts w:ascii="Times New Roman" w:hAnsi="Times New Roman" w:cs="Times New Roman"/>
          <w:sz w:val="24"/>
          <w:szCs w:val="24"/>
          <w:lang w:val="vi-VN"/>
        </w:rPr>
        <w:t>118/2008/NĐ-CP</w:t>
      </w:r>
      <w:r w:rsidRPr="005311DD">
        <w:rPr>
          <w:rFonts w:ascii="Times New Roman" w:eastAsia="Times New Roman" w:hAnsi="Times New Roman" w:cs="Times New Roman"/>
          <w:i/>
          <w:iCs/>
          <w:color w:val="000000"/>
          <w:sz w:val="24"/>
          <w:szCs w:val="24"/>
        </w:rPr>
        <w:t> ngày 27/11/2008 của Chính phủ quy định chức năng, nhiệm vụ, quyền hạn và cơ cấu tổ chức của Bộ Tài chính;</w:t>
      </w:r>
      <w:r w:rsidRPr="005311DD">
        <w:rPr>
          <w:rFonts w:ascii="Times New Roman" w:eastAsia="Times New Roman" w:hAnsi="Times New Roman" w:cs="Times New Roman"/>
          <w:i/>
          <w:iCs/>
          <w:color w:val="000000"/>
          <w:sz w:val="24"/>
          <w:szCs w:val="24"/>
        </w:rPr>
        <w:br/>
        <w:t>Căn cứ Nghị định số </w:t>
      </w:r>
      <w:r w:rsidR="005311DD">
        <w:rPr>
          <w:rFonts w:ascii="Times New Roman" w:hAnsi="Times New Roman" w:cs="Times New Roman"/>
          <w:sz w:val="24"/>
          <w:szCs w:val="24"/>
          <w:lang w:val="vi-VN"/>
        </w:rPr>
        <w:t>160/2005/NĐ-CP</w:t>
      </w:r>
      <w:r w:rsidRPr="005311DD">
        <w:rPr>
          <w:rFonts w:ascii="Times New Roman" w:eastAsia="Times New Roman" w:hAnsi="Times New Roman" w:cs="Times New Roman"/>
          <w:i/>
          <w:iCs/>
          <w:color w:val="000000"/>
          <w:sz w:val="24"/>
          <w:szCs w:val="24"/>
        </w:rPr>
        <w:t> ngày 27/12/2005 và Nghị định số </w:t>
      </w:r>
      <w:r w:rsidR="005311DD">
        <w:rPr>
          <w:rFonts w:ascii="Times New Roman" w:hAnsi="Times New Roman" w:cs="Times New Roman"/>
          <w:sz w:val="24"/>
          <w:szCs w:val="24"/>
          <w:lang w:val="vi-VN"/>
        </w:rPr>
        <w:t>07/2009/NĐ-CP</w:t>
      </w:r>
      <w:r w:rsidRPr="005311DD">
        <w:rPr>
          <w:rFonts w:ascii="Times New Roman" w:eastAsia="Times New Roman" w:hAnsi="Times New Roman" w:cs="Times New Roman"/>
          <w:i/>
          <w:iCs/>
          <w:color w:val="000000"/>
          <w:sz w:val="24"/>
          <w:szCs w:val="24"/>
        </w:rPr>
        <w:t> ngày 21/01/2009 sửa đổi, bổ sung một số điều của Nghị định số </w:t>
      </w:r>
      <w:r w:rsidR="005311DD">
        <w:rPr>
          <w:rFonts w:ascii="Times New Roman" w:hAnsi="Times New Roman" w:cs="Times New Roman"/>
          <w:sz w:val="24"/>
          <w:szCs w:val="24"/>
          <w:lang w:val="vi-VN"/>
        </w:rPr>
        <w:t>160/2005/NĐ-CP</w:t>
      </w:r>
      <w:r w:rsidRPr="005311DD">
        <w:rPr>
          <w:rFonts w:ascii="Times New Roman" w:eastAsia="Times New Roman" w:hAnsi="Times New Roman" w:cs="Times New Roman"/>
          <w:i/>
          <w:iCs/>
          <w:color w:val="000000"/>
          <w:sz w:val="24"/>
          <w:szCs w:val="24"/>
        </w:rPr>
        <w:t> ngày 27/12/2005 của Chính phủ quy định chi tiết việc thi hành Luật Khoáng sản và Luật sửa đổi, bổ sung m</w:t>
      </w:r>
      <w:r w:rsidR="005311DD">
        <w:rPr>
          <w:rFonts w:ascii="Times New Roman" w:eastAsia="Times New Roman" w:hAnsi="Times New Roman" w:cs="Times New Roman"/>
          <w:i/>
          <w:iCs/>
          <w:color w:val="000000"/>
          <w:sz w:val="24"/>
          <w:szCs w:val="24"/>
        </w:rPr>
        <w:t>ột số điều của Luật Khoáng sản;</w:t>
      </w:r>
    </w:p>
    <w:p w:rsidR="0021543A" w:rsidRPr="005311DD" w:rsidRDefault="0021543A" w:rsidP="005311DD">
      <w:pPr>
        <w:shd w:val="clear" w:color="auto" w:fill="FFFFFF"/>
        <w:spacing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i/>
          <w:iCs/>
          <w:color w:val="000000"/>
          <w:sz w:val="24"/>
          <w:szCs w:val="24"/>
        </w:rPr>
        <w:t>Bộ Tài chính hướng dẫn chế độ thu, nộp, quản lý và sử dụng lệ phí cấp giấy phép hoạt động khoáng sản, lệ phí độc quyền thăm dò khoáng sản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Điều 1. Đối tượng nộp lệ phí</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 Tổ chức, cá nhân Việt Nam và nước ngoài khi được cơ quan có thẩm quyền cấp giấy phép hoạt động khoáng sản theo quy định tại Luật khoáng sản và Luật sửa đổi, bổ sung một số điều của Luật Khoáng sản phải nộp lệ phí cấp giấy phép hoạt động khoáng sản theo quy định tại Thông tư này.</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lastRenderedPageBreak/>
        <w:t>2. Tổ chức, cá nhân Việt Nam và nước ngoài khi được cơ quan nhà nước có thẩm quyền cấp phép thăm dò khoáng sản phải nộp lệ phí độc quyền thăm dò khoáng sản theo quy định tại Thông tư này.</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Trường hợp trả lại giấy phép thăm dò hoặc trả lại một phần diện tích độc quyền thăm dò khoáng sản đã được cơ quan nhà nước có thẩm quyền cấp giấy phép thì không phải nộp lệ phí độc quyền thăm dò đối với thời gian còn lại từ ngày giấy phép thăm dò chấm dứt hiệu lực.</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Điều 2. Mức thu lệ phí</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 Mức thu lệ phí cấp giấy phép hoạt động khoáng sản được quy định cụ thể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a) Đối với hoạt động khảo sát: 2.000.000 đồng/1 giấy phép.</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b) Đối với hoạt động thăm dò:</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Diện tích thăm dò nhỏ hơn 100 ha, mức thu là 4.000.000 đồng/01 giấy phép;</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Diện tích thăm dò từ 100 ha đến 50.000 ha, mức thu là 10.000.000 đồng/01 giấy phép;</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Diện tích thăm dò trên 50.000 ha, mức thu là 15.000.000 đồng/01 giấy phép.</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c) Đối với hoạt động chế biến khoáng sản: mức thu là 10.000.000 đồng/01 giấy phép.</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d) Đối với hoạt động khai thác: mức thu được quy định tại biểu đính kèm Thông tư này.</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đ) Khai thác tận thu: mức thu là 5.000.000 đồng/01 giấy phép.</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Trường hợp cấp gia hạn giấy phép, cấp lại giấy phép khi chuyển nhượng, thừa kế thì người được gia hạn giấy phép, người được chuyển nhượng, thừa kế phải nộp lệ phí tính bằng 50% mức lệ phí tương ứng với các mức thu nêu trên.</w:t>
      </w:r>
    </w:p>
    <w:p w:rsidR="0021543A" w:rsidRPr="005311DD" w:rsidRDefault="0021543A" w:rsidP="005311DD">
      <w:pPr>
        <w:shd w:val="clear" w:color="auto" w:fill="FFFFFF"/>
        <w:spacing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 Mức thu lệ phí độc quyền thăm dò khoáng sản theo quy định tại Nghị định số </w:t>
      </w:r>
      <w:r w:rsidR="005311DD">
        <w:rPr>
          <w:rFonts w:ascii="Times New Roman" w:hAnsi="Times New Roman" w:cs="Times New Roman"/>
          <w:sz w:val="24"/>
          <w:szCs w:val="24"/>
          <w:lang w:val="vi-VN"/>
        </w:rPr>
        <w:t xml:space="preserve">07/2009/NĐ-CP </w:t>
      </w:r>
      <w:r w:rsidRPr="005311DD">
        <w:rPr>
          <w:rFonts w:ascii="Times New Roman" w:eastAsia="Times New Roman" w:hAnsi="Times New Roman" w:cs="Times New Roman"/>
          <w:color w:val="000000"/>
          <w:sz w:val="24"/>
          <w:szCs w:val="24"/>
        </w:rPr>
        <w:t>sửa đổi, bổ sung một số điều của Nghị định số </w:t>
      </w:r>
      <w:r w:rsidR="005311DD">
        <w:rPr>
          <w:rFonts w:ascii="Times New Roman" w:hAnsi="Times New Roman" w:cs="Times New Roman"/>
          <w:sz w:val="24"/>
          <w:szCs w:val="24"/>
          <w:lang w:val="vi-VN"/>
        </w:rPr>
        <w:t>160/2005/NĐ-CP</w:t>
      </w:r>
      <w:r w:rsidRPr="005311DD">
        <w:rPr>
          <w:rFonts w:ascii="Times New Roman" w:eastAsia="Times New Roman" w:hAnsi="Times New Roman" w:cs="Times New Roman"/>
          <w:color w:val="000000"/>
          <w:sz w:val="24"/>
          <w:szCs w:val="24"/>
        </w:rPr>
        <w:t> ngày 27/12/2005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a) Mức thu: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4"/>
        <w:gridCol w:w="2947"/>
        <w:gridCol w:w="2948"/>
      </w:tblGrid>
      <w:tr w:rsidR="0021543A" w:rsidRPr="005311DD" w:rsidTr="0021543A">
        <w:trPr>
          <w:tblCellSpacing w:w="0" w:type="dxa"/>
        </w:trPr>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lastRenderedPageBreak/>
              <w:t>Số TT</w:t>
            </w:r>
          </w:p>
        </w:tc>
        <w:tc>
          <w:tcPr>
            <w:tcW w:w="29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Năm</w:t>
            </w:r>
          </w:p>
        </w:tc>
        <w:tc>
          <w:tcPr>
            <w:tcW w:w="2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Mức thu (</w:t>
            </w:r>
            <w:r w:rsidRPr="005311DD">
              <w:rPr>
                <w:rFonts w:ascii="Times New Roman" w:eastAsia="Times New Roman" w:hAnsi="Times New Roman" w:cs="Times New Roman"/>
                <w:b/>
                <w:bCs/>
                <w:i/>
                <w:iCs/>
                <w:color w:val="000000"/>
                <w:sz w:val="24"/>
                <w:szCs w:val="24"/>
              </w:rPr>
              <w:t>đồng/ha/năm)</w:t>
            </w:r>
          </w:p>
        </w:tc>
      </w:tr>
      <w:tr w:rsidR="0021543A" w:rsidRPr="005311DD" w:rsidTr="0021543A">
        <w:trPr>
          <w:tblCellSpacing w:w="0" w:type="dxa"/>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w:t>
            </w:r>
          </w:p>
        </w:tc>
        <w:tc>
          <w:tcPr>
            <w:tcW w:w="2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Năm thứ 1</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50.000</w:t>
            </w:r>
          </w:p>
        </w:tc>
      </w:tr>
      <w:tr w:rsidR="0021543A" w:rsidRPr="005311DD" w:rsidTr="0021543A">
        <w:trPr>
          <w:tblCellSpacing w:w="0" w:type="dxa"/>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w:t>
            </w:r>
          </w:p>
        </w:tc>
        <w:tc>
          <w:tcPr>
            <w:tcW w:w="2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Năm thứ 2</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80.000</w:t>
            </w:r>
          </w:p>
        </w:tc>
      </w:tr>
      <w:tr w:rsidR="0021543A" w:rsidRPr="005311DD" w:rsidTr="0021543A">
        <w:trPr>
          <w:tblCellSpacing w:w="0" w:type="dxa"/>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3</w:t>
            </w:r>
          </w:p>
        </w:tc>
        <w:tc>
          <w:tcPr>
            <w:tcW w:w="2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Năm thứ 3 và thứ 4 trở đi</w:t>
            </w:r>
          </w:p>
        </w:tc>
        <w:tc>
          <w:tcPr>
            <w:tcW w:w="2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100.000</w:t>
            </w:r>
          </w:p>
        </w:tc>
      </w:tr>
    </w:tbl>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b) Số tiền lệ phí độc quyền thăm dò khoáng sản phải nộp đối với mỗi giấy phép tính theo diện tích và thời gian ghi trên giấy phép (kể cả thời gian gia hạn của giấy phép). Để đơn giản khi tính thu, mức thu lệ phí đối với giấy phép được tính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Giấy phép có thời hạn đến 12 tháng thì tính theo mức thu của năm thứ nhất. Trường hợp gia hạn thì khi cấp giấy phép gia hạn, mức thu được tính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Thời gian gia hạn đến 6 tháng thì tính mức thu bằng 1/2 mức thu của năm thứ hai;</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Thời hạn gia hạn đến 12 tháng thì tính mức thu bằng mức thu của năm thứ hai.</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Giấy phép có thời hạn trên 12 tháng, mức thu được tính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Giấy phép có thời hạn đến 18 tháng thì tính theo mức thu của năm thứ nhất cộng với 1/2 mức thu của năm thứ 2;</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Giấy phép có thời hạn đến 24 tháng thì tính theo mức thu của năm thứ nhất cộng mức thu của  năm thứ hai;</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Trường hợp gia hạn (giấy phép có thời hạn trên 24 tháng) thì khi cấp giấy phép gia hạn, mức thu sẽ được tính như sau:</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Gia hạn thêm từ 2 đến 12 tháng: tính bằng mức thu của năm thứ 3;</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Gia hạn thêm trên 12 đến 18 tháng; tính bằng mức thu của năm thứ 3 cộng với 1/2 mức thu của năm thứ 3;</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Gia hạn thêm trên 18 tháng: tính bằng mức thu của năm thứ 3 và năm thứ 4.</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lastRenderedPageBreak/>
        <w:t>3. Lệ phí cấp giấy phép hoạt động khoáng sản, lệ phí độc quyền thăm dò khoáng sản thu bằng Đồng Việt Nam. Trường hợp tổ chức, cá nhân nước ngoài có nhu cầu nộp lệ phí bằng ngoại tệ thì thu theo tỷ giá giao dịch bình quân trên thị trường ngoại tệ liên ngân hàng do Ngân hàng Nhà nước Việt Nam công bố tại thời điểm thu tiền.</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Điều 3. Tổ chức thu, nộp lệ phí</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 Cơ quan có thẩm quyền cấp giấy phép hoạt động khoáng sản có trách nhiệm tổ chức thu lệ phí cấp giấy phép hoạt động khoáng sản và thu lệ phí độc quyền thăm dò khoáng sản.</w:t>
      </w:r>
    </w:p>
    <w:p w:rsidR="0021543A" w:rsidRPr="005311DD" w:rsidRDefault="0021543A" w:rsidP="005311DD">
      <w:pPr>
        <w:shd w:val="clear" w:color="auto" w:fill="FFFFFF"/>
        <w:spacing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 Cơ quan thu lệ phí có trách nhiệm thực hiện đăng ký, kê khai, nộp lệ phí vào ngân sách nhà nước theo quy định tại Thông tư số </w:t>
      </w:r>
      <w:r w:rsidR="005311DD">
        <w:rPr>
          <w:rFonts w:ascii="Times New Roman" w:hAnsi="Times New Roman" w:cs="Times New Roman"/>
          <w:sz w:val="24"/>
          <w:szCs w:val="24"/>
          <w:lang w:val="vi-VN"/>
        </w:rPr>
        <w:t>63/2002/TT-BTC</w:t>
      </w:r>
      <w:r w:rsidRPr="005311DD">
        <w:rPr>
          <w:rFonts w:ascii="Times New Roman" w:eastAsia="Times New Roman" w:hAnsi="Times New Roman" w:cs="Times New Roman"/>
          <w:color w:val="000000"/>
          <w:sz w:val="24"/>
          <w:szCs w:val="24"/>
        </w:rPr>
        <w:t> ngày 24/7/2002; Thông tư số </w:t>
      </w:r>
      <w:r w:rsidR="005311DD">
        <w:rPr>
          <w:rFonts w:ascii="Times New Roman" w:hAnsi="Times New Roman" w:cs="Times New Roman"/>
          <w:sz w:val="24"/>
          <w:szCs w:val="24"/>
          <w:lang w:val="vi-VN"/>
        </w:rPr>
        <w:t>45/2006/TT-BTC</w:t>
      </w:r>
      <w:r w:rsidRPr="005311DD">
        <w:rPr>
          <w:rFonts w:ascii="Times New Roman" w:eastAsia="Times New Roman" w:hAnsi="Times New Roman" w:cs="Times New Roman"/>
          <w:color w:val="000000"/>
          <w:sz w:val="24"/>
          <w:szCs w:val="24"/>
        </w:rPr>
        <w:t> ngày 25/5/2006 sửa đổi, bổ sung Thông tư số </w:t>
      </w:r>
      <w:r w:rsidR="005311DD">
        <w:rPr>
          <w:rFonts w:ascii="Times New Roman" w:hAnsi="Times New Roman" w:cs="Times New Roman"/>
          <w:sz w:val="24"/>
          <w:szCs w:val="24"/>
          <w:lang w:val="vi-VN"/>
        </w:rPr>
        <w:t>63/2002/TT-BTC</w:t>
      </w:r>
      <w:r w:rsidRPr="005311DD">
        <w:rPr>
          <w:rFonts w:ascii="Times New Roman" w:eastAsia="Times New Roman" w:hAnsi="Times New Roman" w:cs="Times New Roman"/>
          <w:color w:val="000000"/>
          <w:sz w:val="24"/>
          <w:szCs w:val="24"/>
        </w:rPr>
        <w:t> ngày 24/7/2002 của Bộ Tài chính hướng dẫn thực hiện các quy định pháp luật về phí, lệ phí và Thông tư số </w:t>
      </w:r>
      <w:r w:rsidR="005311DD">
        <w:rPr>
          <w:rFonts w:ascii="Times New Roman" w:hAnsi="Times New Roman" w:cs="Times New Roman"/>
          <w:sz w:val="24"/>
          <w:szCs w:val="24"/>
          <w:lang w:val="vi-VN"/>
        </w:rPr>
        <w:t xml:space="preserve">60/2007/TT-BTC </w:t>
      </w:r>
      <w:r w:rsidRPr="005311DD">
        <w:rPr>
          <w:rFonts w:ascii="Times New Roman" w:eastAsia="Times New Roman" w:hAnsi="Times New Roman" w:cs="Times New Roman"/>
          <w:color w:val="000000"/>
          <w:sz w:val="24"/>
          <w:szCs w:val="24"/>
        </w:rPr>
        <w:t>ngày 14/6/2007 của Bộ Tài chính hướng dẫn thực hiện một số điều của Luật Quản lý thuế và hướng dẫn Nghị định số </w:t>
      </w:r>
      <w:r w:rsidR="005311DD">
        <w:rPr>
          <w:rFonts w:ascii="Times New Roman" w:hAnsi="Times New Roman" w:cs="Times New Roman"/>
          <w:sz w:val="24"/>
          <w:szCs w:val="24"/>
          <w:lang w:val="vi-VN"/>
        </w:rPr>
        <w:t>85/2007/NĐ-CP</w:t>
      </w:r>
      <w:r w:rsidR="005311DD" w:rsidRPr="005311DD">
        <w:rPr>
          <w:rFonts w:ascii="Times New Roman" w:eastAsia="Times New Roman" w:hAnsi="Times New Roman" w:cs="Times New Roman"/>
          <w:color w:val="000000"/>
          <w:sz w:val="24"/>
          <w:szCs w:val="24"/>
        </w:rPr>
        <w:t xml:space="preserve"> </w:t>
      </w:r>
      <w:r w:rsidRPr="005311DD">
        <w:rPr>
          <w:rFonts w:ascii="Times New Roman" w:eastAsia="Times New Roman" w:hAnsi="Times New Roman" w:cs="Times New Roman"/>
          <w:color w:val="000000"/>
          <w:sz w:val="24"/>
          <w:szCs w:val="24"/>
        </w:rPr>
        <w:t>ngày 25/5/2007 của Chính phủ quy định chi tiết thi hành một số điều của Luật Quản lý thuế.</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3. Lệ phí cấp giấy phép hoạt động khoáng sản, lệ phí độc quyền thăm dò khoáng sản là khoản thu thuộc ngân sách nhà nước. Cơ quan thu lệ phí thực hiện nộp toàn bộ số tiền lệ phí thu được vào ngân sách nhà nước theo Chương, loại, khoản, mục và tiểu mục tương ứng của Mục lục ngân sách nhà nước hiện hành. Trường hợp ủy quyền thu thì tổ chức được ủy quyền thu lệ phí được để lại 5% số lệ phí thu được để trang trải chi phí cho việc thu lệ phí và nộp 95% số lệ phí thu được vào ngân sách nhà nước.</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Điều 4. Hiệu lực thi hành</w:t>
      </w:r>
    </w:p>
    <w:p w:rsidR="0021543A" w:rsidRPr="005311DD" w:rsidRDefault="0021543A" w:rsidP="005311DD">
      <w:pPr>
        <w:shd w:val="clear" w:color="auto" w:fill="FFFFFF"/>
        <w:spacing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 Thông tư này có hiệu lực thi hành sau 45 ngày, kể từ ngày ký. Thông tư này thay thế Thông tư số </w:t>
      </w:r>
      <w:r w:rsidR="005311DD">
        <w:rPr>
          <w:rFonts w:ascii="Times New Roman" w:hAnsi="Times New Roman" w:cs="Times New Roman"/>
          <w:sz w:val="24"/>
          <w:szCs w:val="24"/>
          <w:lang w:val="vi-VN"/>
        </w:rPr>
        <w:t>20/2005/TT-BTC</w:t>
      </w:r>
      <w:r w:rsidRPr="005311DD">
        <w:rPr>
          <w:rFonts w:ascii="Times New Roman" w:eastAsia="Times New Roman" w:hAnsi="Times New Roman" w:cs="Times New Roman"/>
          <w:color w:val="000000"/>
          <w:sz w:val="24"/>
          <w:szCs w:val="24"/>
        </w:rPr>
        <w:t> ngày 16/3/2005 của Bộ Tài chính hướng dẫn chế độ thu, nộp, quản lý và sử dụng lệ phí cấp giấy phép hoạt động khoáng sản và Thông tư số </w:t>
      </w:r>
      <w:r w:rsidR="005311DD">
        <w:rPr>
          <w:rFonts w:ascii="Times New Roman" w:hAnsi="Times New Roman" w:cs="Times New Roman"/>
          <w:sz w:val="24"/>
          <w:szCs w:val="24"/>
          <w:lang w:val="vi-VN"/>
        </w:rPr>
        <w:t>18/2003/NĐ-CP</w:t>
      </w:r>
      <w:r w:rsidRPr="005311DD">
        <w:rPr>
          <w:rFonts w:ascii="Times New Roman" w:eastAsia="Times New Roman" w:hAnsi="Times New Roman" w:cs="Times New Roman"/>
          <w:color w:val="000000"/>
          <w:sz w:val="24"/>
          <w:szCs w:val="24"/>
        </w:rPr>
        <w:t xml:space="preserve"> ngày </w:t>
      </w:r>
      <w:r w:rsidRPr="005311DD">
        <w:rPr>
          <w:rFonts w:ascii="Times New Roman" w:eastAsia="Times New Roman" w:hAnsi="Times New Roman" w:cs="Times New Roman"/>
          <w:color w:val="000000"/>
          <w:sz w:val="24"/>
          <w:szCs w:val="24"/>
        </w:rPr>
        <w:lastRenderedPageBreak/>
        <w:t>10/01/2003 của Bộ Tài chính hướng dẫn chế độ thu, nộp, quản lý và sử dụng lệ phí độc quyền thăm dò khoáng sản.</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 Trong quá trình thực hiện, nếu có vướng mắc, đề nghị các cơ quan, tổ chức, cá nhân phản ánh kịp thời về Bộ Tài chính để nghiên cứu, hướng dẫn.</w:t>
      </w:r>
    </w:p>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1"/>
        <w:gridCol w:w="4421"/>
      </w:tblGrid>
      <w:tr w:rsidR="0021543A" w:rsidRPr="005311DD" w:rsidTr="0021543A">
        <w:trPr>
          <w:tblCellSpacing w:w="0" w:type="dxa"/>
        </w:trPr>
        <w:tc>
          <w:tcPr>
            <w:tcW w:w="4421" w:type="dxa"/>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p>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i/>
                <w:iCs/>
                <w:color w:val="000000"/>
                <w:sz w:val="24"/>
                <w:szCs w:val="24"/>
              </w:rPr>
              <w:t>Nơi nhận:</w:t>
            </w:r>
            <w:r w:rsidRPr="005311DD">
              <w:rPr>
                <w:rFonts w:ascii="Times New Roman" w:eastAsia="Times New Roman" w:hAnsi="Times New Roman" w:cs="Times New Roman"/>
                <w:color w:val="000000"/>
                <w:sz w:val="24"/>
                <w:szCs w:val="24"/>
              </w:rPr>
              <w:br/>
              <w:t>- Văn phòng Trung ương và các Ban của Đảng;</w:t>
            </w:r>
            <w:r w:rsidRPr="005311DD">
              <w:rPr>
                <w:rFonts w:ascii="Times New Roman" w:eastAsia="Times New Roman" w:hAnsi="Times New Roman" w:cs="Times New Roman"/>
                <w:color w:val="000000"/>
                <w:sz w:val="24"/>
                <w:szCs w:val="24"/>
              </w:rPr>
              <w:br/>
              <w:t>- Văn phòng Quốc hội;</w:t>
            </w:r>
            <w:r w:rsidRPr="005311DD">
              <w:rPr>
                <w:rFonts w:ascii="Times New Roman" w:eastAsia="Times New Roman" w:hAnsi="Times New Roman" w:cs="Times New Roman"/>
                <w:color w:val="000000"/>
                <w:sz w:val="24"/>
                <w:szCs w:val="24"/>
              </w:rPr>
              <w:br/>
              <w:t>- Văn phòng Chủ tịch nước;</w:t>
            </w:r>
            <w:r w:rsidRPr="005311DD">
              <w:rPr>
                <w:rFonts w:ascii="Times New Roman" w:eastAsia="Times New Roman" w:hAnsi="Times New Roman" w:cs="Times New Roman"/>
                <w:color w:val="000000"/>
                <w:sz w:val="24"/>
                <w:szCs w:val="24"/>
              </w:rPr>
              <w:br/>
              <w:t>- Viện Kiểm sát nhân dân tối cao;</w:t>
            </w:r>
            <w:r w:rsidRPr="005311DD">
              <w:rPr>
                <w:rFonts w:ascii="Times New Roman" w:eastAsia="Times New Roman" w:hAnsi="Times New Roman" w:cs="Times New Roman"/>
                <w:color w:val="000000"/>
                <w:sz w:val="24"/>
                <w:szCs w:val="24"/>
              </w:rPr>
              <w:br/>
              <w:t>- Tòa án nhân dân tối cao;</w:t>
            </w:r>
            <w:r w:rsidRPr="005311DD">
              <w:rPr>
                <w:rFonts w:ascii="Times New Roman" w:eastAsia="Times New Roman" w:hAnsi="Times New Roman" w:cs="Times New Roman"/>
                <w:color w:val="000000"/>
                <w:sz w:val="24"/>
                <w:szCs w:val="24"/>
              </w:rPr>
              <w:br/>
              <w:t>- Các Bộ, cơ quan ngang Bộ, cơ quan thuộc Chính phủ;</w:t>
            </w:r>
            <w:r w:rsidRPr="005311DD">
              <w:rPr>
                <w:rFonts w:ascii="Times New Roman" w:eastAsia="Times New Roman" w:hAnsi="Times New Roman" w:cs="Times New Roman"/>
                <w:color w:val="000000"/>
                <w:sz w:val="24"/>
                <w:szCs w:val="24"/>
              </w:rPr>
              <w:br/>
              <w:t>- Cơ quan Trung ương của các đoàn thể;</w:t>
            </w:r>
            <w:r w:rsidRPr="005311DD">
              <w:rPr>
                <w:rFonts w:ascii="Times New Roman" w:eastAsia="Times New Roman" w:hAnsi="Times New Roman" w:cs="Times New Roman"/>
                <w:color w:val="000000"/>
                <w:sz w:val="24"/>
                <w:szCs w:val="24"/>
              </w:rPr>
              <w:br/>
              <w:t>- Kiểm toán nhà nước;</w:t>
            </w:r>
            <w:r w:rsidRPr="005311DD">
              <w:rPr>
                <w:rFonts w:ascii="Times New Roman" w:eastAsia="Times New Roman" w:hAnsi="Times New Roman" w:cs="Times New Roman"/>
                <w:color w:val="000000"/>
                <w:sz w:val="24"/>
                <w:szCs w:val="24"/>
              </w:rPr>
              <w:br/>
              <w:t>- Văn phòng Ban chỉ đạo Trung ương về phòng, chống tham nhũng;</w:t>
            </w:r>
            <w:r w:rsidRPr="005311DD">
              <w:rPr>
                <w:rFonts w:ascii="Times New Roman" w:eastAsia="Times New Roman" w:hAnsi="Times New Roman" w:cs="Times New Roman"/>
                <w:color w:val="000000"/>
                <w:sz w:val="24"/>
                <w:szCs w:val="24"/>
              </w:rPr>
              <w:br/>
              <w:t>- Công báo;</w:t>
            </w:r>
            <w:r w:rsidRPr="005311DD">
              <w:rPr>
                <w:rFonts w:ascii="Times New Roman" w:eastAsia="Times New Roman" w:hAnsi="Times New Roman" w:cs="Times New Roman"/>
                <w:color w:val="000000"/>
                <w:sz w:val="24"/>
                <w:szCs w:val="24"/>
              </w:rPr>
              <w:br/>
              <w:t>- Website Chính phủ;</w:t>
            </w:r>
            <w:r w:rsidRPr="005311DD">
              <w:rPr>
                <w:rFonts w:ascii="Times New Roman" w:eastAsia="Times New Roman" w:hAnsi="Times New Roman" w:cs="Times New Roman"/>
                <w:color w:val="000000"/>
                <w:sz w:val="24"/>
                <w:szCs w:val="24"/>
              </w:rPr>
              <w:br/>
              <w:t>- Ủy ban nhân dân, Sở Tài chính, Cục Thuế, Kho bạc nhà nước các tỉnh, thành phố trực thuộc Trung ương;</w:t>
            </w:r>
            <w:r w:rsidRPr="005311DD">
              <w:rPr>
                <w:rFonts w:ascii="Times New Roman" w:eastAsia="Times New Roman" w:hAnsi="Times New Roman" w:cs="Times New Roman"/>
                <w:color w:val="000000"/>
                <w:sz w:val="24"/>
                <w:szCs w:val="24"/>
              </w:rPr>
              <w:br/>
              <w:t>- Cục Kiểm tra văn bản (Bộ Tư pháp);</w:t>
            </w:r>
            <w:r w:rsidRPr="005311DD">
              <w:rPr>
                <w:rFonts w:ascii="Times New Roman" w:eastAsia="Times New Roman" w:hAnsi="Times New Roman" w:cs="Times New Roman"/>
                <w:color w:val="000000"/>
                <w:sz w:val="24"/>
                <w:szCs w:val="24"/>
              </w:rPr>
              <w:br/>
            </w:r>
            <w:r w:rsidRPr="005311DD">
              <w:rPr>
                <w:rFonts w:ascii="Times New Roman" w:eastAsia="Times New Roman" w:hAnsi="Times New Roman" w:cs="Times New Roman"/>
                <w:color w:val="000000"/>
                <w:sz w:val="24"/>
                <w:szCs w:val="24"/>
              </w:rPr>
              <w:lastRenderedPageBreak/>
              <w:t>- Các đơn vị thuộc Bộ Tài chính;</w:t>
            </w:r>
            <w:r w:rsidRPr="005311DD">
              <w:rPr>
                <w:rFonts w:ascii="Times New Roman" w:eastAsia="Times New Roman" w:hAnsi="Times New Roman" w:cs="Times New Roman"/>
                <w:color w:val="000000"/>
                <w:sz w:val="24"/>
                <w:szCs w:val="24"/>
              </w:rPr>
              <w:br/>
              <w:t>- Lưu VT, CST (3).</w:t>
            </w:r>
          </w:p>
        </w:tc>
        <w:tc>
          <w:tcPr>
            <w:tcW w:w="4421" w:type="dxa"/>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lastRenderedPageBreak/>
              <w:t>KT. BỘ TRƯỞNG</w:t>
            </w:r>
            <w:r w:rsidRPr="005311DD">
              <w:rPr>
                <w:rFonts w:ascii="Times New Roman" w:eastAsia="Times New Roman" w:hAnsi="Times New Roman" w:cs="Times New Roman"/>
                <w:b/>
                <w:bCs/>
                <w:color w:val="000000"/>
                <w:sz w:val="24"/>
                <w:szCs w:val="24"/>
              </w:rPr>
              <w:br/>
              <w:t>THỨ TRƯỞNG</w:t>
            </w:r>
            <w:r w:rsidRPr="005311DD">
              <w:rPr>
                <w:rFonts w:ascii="Times New Roman" w:eastAsia="Times New Roman" w:hAnsi="Times New Roman" w:cs="Times New Roman"/>
                <w:b/>
                <w:bCs/>
                <w:color w:val="000000"/>
                <w:sz w:val="24"/>
                <w:szCs w:val="24"/>
              </w:rPr>
              <w:br/>
            </w:r>
            <w:r w:rsidRPr="005311DD">
              <w:rPr>
                <w:rFonts w:ascii="Times New Roman" w:eastAsia="Times New Roman" w:hAnsi="Times New Roman" w:cs="Times New Roman"/>
                <w:b/>
                <w:bCs/>
                <w:color w:val="000000"/>
                <w:sz w:val="24"/>
                <w:szCs w:val="24"/>
              </w:rPr>
              <w:br/>
            </w:r>
            <w:r w:rsidRPr="005311DD">
              <w:rPr>
                <w:rFonts w:ascii="Times New Roman" w:eastAsia="Times New Roman" w:hAnsi="Times New Roman" w:cs="Times New Roman"/>
                <w:b/>
                <w:bCs/>
                <w:color w:val="000000"/>
                <w:sz w:val="24"/>
                <w:szCs w:val="24"/>
              </w:rPr>
              <w:br/>
            </w:r>
            <w:r w:rsidRPr="005311DD">
              <w:rPr>
                <w:rFonts w:ascii="Times New Roman" w:eastAsia="Times New Roman" w:hAnsi="Times New Roman" w:cs="Times New Roman"/>
                <w:b/>
                <w:bCs/>
                <w:color w:val="000000"/>
                <w:sz w:val="24"/>
                <w:szCs w:val="24"/>
              </w:rPr>
              <w:br/>
            </w:r>
            <w:r w:rsidRPr="005311DD">
              <w:rPr>
                <w:rFonts w:ascii="Times New Roman" w:eastAsia="Times New Roman" w:hAnsi="Times New Roman" w:cs="Times New Roman"/>
                <w:b/>
                <w:bCs/>
                <w:color w:val="000000"/>
                <w:sz w:val="24"/>
                <w:szCs w:val="24"/>
              </w:rPr>
              <w:br/>
              <w:t>Đỗ Hoàng Anh Tuấn</w:t>
            </w:r>
          </w:p>
        </w:tc>
      </w:tr>
    </w:tbl>
    <w:p w:rsidR="0021543A" w:rsidRPr="005311DD" w:rsidRDefault="0021543A" w:rsidP="005311DD">
      <w:pPr>
        <w:shd w:val="clear" w:color="auto" w:fill="FFFFFF"/>
        <w:spacing w:before="120" w:after="0" w:line="360" w:lineRule="auto"/>
        <w:jc w:val="center"/>
        <w:rPr>
          <w:rFonts w:ascii="Times New Roman" w:eastAsia="Times New Roman" w:hAnsi="Times New Roman" w:cs="Times New Roman"/>
          <w:color w:val="000000"/>
          <w:sz w:val="24"/>
          <w:szCs w:val="24"/>
        </w:rPr>
      </w:pPr>
    </w:p>
    <w:p w:rsidR="0021543A" w:rsidRPr="005311DD" w:rsidRDefault="0021543A" w:rsidP="005311DD">
      <w:pPr>
        <w:shd w:val="clear" w:color="auto" w:fill="FFFFFF"/>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b/>
          <w:bCs/>
          <w:color w:val="000000"/>
          <w:sz w:val="24"/>
          <w:szCs w:val="24"/>
        </w:rPr>
        <w:t>BIỂU MỨC THU</w:t>
      </w:r>
    </w:p>
    <w:p w:rsidR="0021543A" w:rsidRPr="005311DD" w:rsidRDefault="0021543A" w:rsidP="005311DD">
      <w:pPr>
        <w:shd w:val="clear" w:color="auto" w:fill="FFFFFF"/>
        <w:spacing w:before="120" w:after="0" w:line="360" w:lineRule="auto"/>
        <w:jc w:val="center"/>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LỆ PHÍ CẤP GIẤY PHÉP HOẠT ĐỘNG KHAI THÁC KHOÁNG SẢN </w:t>
      </w:r>
      <w:r w:rsidRPr="005311DD">
        <w:rPr>
          <w:rFonts w:ascii="Times New Roman" w:eastAsia="Times New Roman" w:hAnsi="Times New Roman" w:cs="Times New Roman"/>
          <w:color w:val="000000"/>
          <w:sz w:val="24"/>
          <w:szCs w:val="24"/>
        </w:rPr>
        <w:br/>
      </w:r>
      <w:r w:rsidRPr="005311DD">
        <w:rPr>
          <w:rFonts w:ascii="Times New Roman" w:eastAsia="Times New Roman" w:hAnsi="Times New Roman" w:cs="Times New Roman"/>
          <w:i/>
          <w:iCs/>
          <w:color w:val="000000"/>
          <w:sz w:val="24"/>
          <w:szCs w:val="24"/>
        </w:rPr>
        <w:t>(ban hành kèm theo Thông tư số 184/2009/TT-BTC ngày 15 tháng 09 năm 2009 của Bộ Tài chính)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3"/>
        <w:gridCol w:w="6300"/>
        <w:gridCol w:w="1908"/>
      </w:tblGrid>
      <w:tr w:rsidR="0021543A" w:rsidRPr="005311DD" w:rsidTr="0021543A">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STT</w:t>
            </w:r>
          </w:p>
        </w:tc>
        <w:tc>
          <w:tcPr>
            <w:tcW w:w="6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Nhóm hoạt động khai thác khoáng sản</w:t>
            </w:r>
          </w:p>
        </w:tc>
        <w:tc>
          <w:tcPr>
            <w:tcW w:w="19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Mức thu</w:t>
            </w:r>
            <w:r w:rsidRPr="005311DD">
              <w:rPr>
                <w:rFonts w:ascii="Times New Roman" w:eastAsia="Times New Roman" w:hAnsi="Times New Roman" w:cs="Times New Roman"/>
                <w:color w:val="000000"/>
                <w:sz w:val="24"/>
                <w:szCs w:val="24"/>
              </w:rPr>
              <w:br/>
              <w:t>(đồng/giấy phép)</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cát, sỏi lòng suối</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1.1</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Có sản lượng khai thác dưới 5.000m</w:t>
            </w:r>
            <w:r w:rsidRPr="005311DD">
              <w:rPr>
                <w:rFonts w:ascii="Times New Roman" w:eastAsia="Times New Roman" w:hAnsi="Times New Roman" w:cs="Times New Roman"/>
                <w:color w:val="000000"/>
                <w:sz w:val="24"/>
                <w:szCs w:val="24"/>
                <w:vertAlign w:val="superscript"/>
              </w:rPr>
              <w:t>3</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1.2</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Có sản lượng khai thác từ 5.000 m</w:t>
            </w:r>
            <w:r w:rsidRPr="005311DD">
              <w:rPr>
                <w:rFonts w:ascii="Times New Roman" w:eastAsia="Times New Roman" w:hAnsi="Times New Roman" w:cs="Times New Roman"/>
                <w:color w:val="000000"/>
                <w:sz w:val="24"/>
                <w:szCs w:val="24"/>
                <w:vertAlign w:val="superscript"/>
              </w:rPr>
              <w:t>3</w:t>
            </w:r>
            <w:r w:rsidRPr="005311DD">
              <w:rPr>
                <w:rFonts w:ascii="Times New Roman" w:eastAsia="Times New Roman" w:hAnsi="Times New Roman" w:cs="Times New Roman"/>
                <w:color w:val="000000"/>
                <w:sz w:val="24"/>
                <w:szCs w:val="24"/>
              </w:rPr>
              <w:t> đến 10.000 m</w:t>
            </w:r>
            <w:r w:rsidRPr="005311DD">
              <w:rPr>
                <w:rFonts w:ascii="Times New Roman" w:eastAsia="Times New Roman" w:hAnsi="Times New Roman" w:cs="Times New Roman"/>
                <w:color w:val="000000"/>
                <w:sz w:val="24"/>
                <w:szCs w:val="24"/>
                <w:vertAlign w:val="superscript"/>
              </w:rPr>
              <w:t>3</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1.3</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Có sản lượng khai thác trên 10.000 m</w:t>
            </w:r>
            <w:r w:rsidRPr="005311DD">
              <w:rPr>
                <w:rFonts w:ascii="Times New Roman" w:eastAsia="Times New Roman" w:hAnsi="Times New Roman" w:cs="Times New Roman"/>
                <w:color w:val="000000"/>
                <w:sz w:val="24"/>
                <w:szCs w:val="24"/>
                <w:vertAlign w:val="superscript"/>
              </w:rPr>
              <w:t>3</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15.000.000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khoáng sản làm vật liệu xây dựng thông thường không sử dụng vật liệu nổ công nghiệp:</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2.1</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Giấy phép khai thác khoáng sản làm vật liệu xây dựng thông thường có diện tích dưới 10 ha và sản lượng khai thác dưới 100.000 m</w:t>
            </w:r>
            <w:r w:rsidRPr="005311DD">
              <w:rPr>
                <w:rFonts w:ascii="Times New Roman" w:eastAsia="Times New Roman" w:hAnsi="Times New Roman" w:cs="Times New Roman"/>
                <w:color w:val="000000"/>
                <w:sz w:val="24"/>
                <w:szCs w:val="24"/>
                <w:vertAlign w:val="superscript"/>
              </w:rPr>
              <w:t>3</w:t>
            </w:r>
            <w:r w:rsidRPr="005311DD">
              <w:rPr>
                <w:rFonts w:ascii="Times New Roman" w:eastAsia="Times New Roman" w:hAnsi="Times New Roman" w:cs="Times New Roman"/>
                <w:color w:val="000000"/>
                <w:sz w:val="24"/>
                <w:szCs w:val="24"/>
              </w:rPr>
              <w:t>/năm</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15.000.000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2.2</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after="0" w:line="360" w:lineRule="auto"/>
              <w:jc w:val="both"/>
              <w:rPr>
                <w:rFonts w:ascii="Times New Roman" w:eastAsia="Times New Roman" w:hAnsi="Times New Roman" w:cs="Times New Roman"/>
                <w:color w:val="000000"/>
                <w:sz w:val="24"/>
                <w:szCs w:val="24"/>
              </w:rPr>
            </w:pPr>
            <w:bookmarkStart w:id="0" w:name="cumtu_1"/>
            <w:r w:rsidRPr="005311DD">
              <w:rPr>
                <w:rFonts w:ascii="Times New Roman" w:eastAsia="Times New Roman" w:hAnsi="Times New Roman" w:cs="Times New Roman"/>
                <w:color w:val="000000"/>
                <w:sz w:val="24"/>
                <w:szCs w:val="24"/>
                <w:shd w:val="clear" w:color="auto" w:fill="FFFF96"/>
              </w:rPr>
              <w:t>Giấy phép khai thác khoáng sản làm vật liệu xây dựng thông thường, than bùn trừ khoáng sản đã quy định ở mục 1 và 2.1</w:t>
            </w:r>
            <w:bookmarkEnd w:id="0"/>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20.000.000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3</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after="0" w:line="360" w:lineRule="auto"/>
              <w:jc w:val="both"/>
              <w:rPr>
                <w:rFonts w:ascii="Times New Roman" w:eastAsia="Times New Roman" w:hAnsi="Times New Roman" w:cs="Times New Roman"/>
                <w:color w:val="000000"/>
                <w:sz w:val="24"/>
                <w:szCs w:val="24"/>
              </w:rPr>
            </w:pPr>
            <w:bookmarkStart w:id="1" w:name="cumtu_2"/>
            <w:r w:rsidRPr="005311DD">
              <w:rPr>
                <w:rFonts w:ascii="Times New Roman" w:eastAsia="Times New Roman" w:hAnsi="Times New Roman" w:cs="Times New Roman"/>
                <w:color w:val="000000"/>
                <w:sz w:val="24"/>
                <w:szCs w:val="24"/>
                <w:shd w:val="clear" w:color="auto" w:fill="FFFF96"/>
              </w:rPr>
              <w:t xml:space="preserve">Hoạt động khai thác khoáng sản làm nguyên liệu xi măng; khoáng sản làm vật liệu xây dựng thông thường mà không sử dụng vật liệu nổ công nghiệp; trừ hoạt động quy định tại điểm </w:t>
            </w:r>
            <w:r w:rsidRPr="005311DD">
              <w:rPr>
                <w:rFonts w:ascii="Times New Roman" w:eastAsia="Times New Roman" w:hAnsi="Times New Roman" w:cs="Times New Roman"/>
                <w:color w:val="000000"/>
                <w:sz w:val="24"/>
                <w:szCs w:val="24"/>
                <w:shd w:val="clear" w:color="auto" w:fill="FFFF96"/>
              </w:rPr>
              <w:lastRenderedPageBreak/>
              <w:t>1 và 2 của biểu mức thu này</w:t>
            </w:r>
            <w:bookmarkEnd w:id="1"/>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lastRenderedPageBreak/>
              <w:t>30.000.000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lastRenderedPageBreak/>
              <w:t>4</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khoáng sản làm nguyên liệu xi măng; khoáng sản làm vật liệu xây dựng thông thường mà có sử dụng vật liệu nổ công nghiệp; đá ốp lát và nước khoáng</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40.000.000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5</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các loại khoáng sản lộ thiên trừ các loại khoáng sản đã quy định tại điểm 1, 2, 3, 4, 7, 8 của biểu mức thu này.</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5.1</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Không sử dụng vật liệu nổ công nghiệp</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40.000.000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5.2</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Có sử dụng vật liệu nổ công nghiệp</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50.000.000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6</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các loại khoáng sản trong hầm lò trừ các loại khoáng sản đã quy định tại điểm 2, 3, 4, 7 của biểu mức thu này</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60.000.000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7</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khoáng sản quý hiếm</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80.000.000</w:t>
            </w:r>
          </w:p>
        </w:tc>
      </w:tr>
      <w:tr w:rsidR="0021543A" w:rsidRPr="005311DD" w:rsidTr="0021543A">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8</w:t>
            </w:r>
          </w:p>
        </w:tc>
        <w:tc>
          <w:tcPr>
            <w:tcW w:w="6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Hoạt động khai thác khoáng sản đặc biệt và độc hại</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543A" w:rsidRPr="005311DD" w:rsidRDefault="0021543A" w:rsidP="005311DD">
            <w:pPr>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100.000.000</w:t>
            </w:r>
          </w:p>
        </w:tc>
      </w:tr>
    </w:tbl>
    <w:p w:rsidR="0021543A" w:rsidRPr="005311DD" w:rsidRDefault="0021543A" w:rsidP="005311DD">
      <w:pPr>
        <w:shd w:val="clear" w:color="auto" w:fill="FFFFFF"/>
        <w:spacing w:before="120" w:after="0" w:line="360" w:lineRule="auto"/>
        <w:jc w:val="both"/>
        <w:rPr>
          <w:rFonts w:ascii="Times New Roman" w:eastAsia="Times New Roman" w:hAnsi="Times New Roman" w:cs="Times New Roman"/>
          <w:color w:val="000000"/>
          <w:sz w:val="24"/>
          <w:szCs w:val="24"/>
        </w:rPr>
      </w:pPr>
      <w:r w:rsidRPr="005311DD">
        <w:rPr>
          <w:rFonts w:ascii="Times New Roman" w:eastAsia="Times New Roman" w:hAnsi="Times New Roman" w:cs="Times New Roman"/>
          <w:color w:val="000000"/>
          <w:sz w:val="24"/>
          <w:szCs w:val="24"/>
        </w:rPr>
        <w:t> </w:t>
      </w:r>
    </w:p>
    <w:p w:rsidR="00F070CC" w:rsidRPr="005311DD" w:rsidRDefault="00F070CC" w:rsidP="005311DD">
      <w:pPr>
        <w:spacing w:line="360" w:lineRule="auto"/>
        <w:jc w:val="both"/>
        <w:rPr>
          <w:rFonts w:ascii="Times New Roman" w:hAnsi="Times New Roman" w:cs="Times New Roman"/>
          <w:sz w:val="24"/>
          <w:szCs w:val="24"/>
        </w:rPr>
      </w:pPr>
    </w:p>
    <w:sectPr w:rsidR="00F070CC" w:rsidRPr="005311DD" w:rsidSect="00531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BF" w:rsidRDefault="00723ABF" w:rsidP="005311DD">
      <w:pPr>
        <w:spacing w:after="0" w:line="240" w:lineRule="auto"/>
      </w:pPr>
      <w:r>
        <w:separator/>
      </w:r>
    </w:p>
  </w:endnote>
  <w:endnote w:type="continuationSeparator" w:id="0">
    <w:p w:rsidR="00723ABF" w:rsidRDefault="00723ABF" w:rsidP="0053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7" w:rsidRDefault="00FA24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DD" w:rsidRPr="005311DD" w:rsidRDefault="005311DD" w:rsidP="005311DD">
    <w:pPr>
      <w:pStyle w:val="Footer"/>
      <w:jc w:val="center"/>
      <w:rPr>
        <w:rFonts w:ascii="Times New Roman" w:hAnsi="Times New Roman"/>
        <w:sz w:val="24"/>
        <w:szCs w:val="24"/>
      </w:rPr>
    </w:pPr>
    <w:r w:rsidRPr="005311DD">
      <w:rPr>
        <w:rFonts w:ascii="Times New Roman" w:hAnsi="Times New Roman"/>
        <w:b/>
        <w:color w:val="FF0000"/>
        <w:sz w:val="24"/>
        <w:szCs w:val="24"/>
      </w:rPr>
      <w:t>TỔNG ĐÀI TƯ VẤN PHÁP LUẬT TRỰC TUYẾN 24/7: 1900.6568</w:t>
    </w:r>
  </w:p>
  <w:p w:rsidR="005311DD" w:rsidRDefault="005311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7" w:rsidRDefault="00FA24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BF" w:rsidRDefault="00723ABF" w:rsidP="005311DD">
      <w:pPr>
        <w:spacing w:after="0" w:line="240" w:lineRule="auto"/>
      </w:pPr>
      <w:r>
        <w:separator/>
      </w:r>
    </w:p>
  </w:footnote>
  <w:footnote w:type="continuationSeparator" w:id="0">
    <w:p w:rsidR="00723ABF" w:rsidRDefault="00723ABF" w:rsidP="0053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7" w:rsidRDefault="00FA24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311DD" w:rsidRPr="00A67571" w:rsidTr="009242B4">
      <w:trPr>
        <w:trHeight w:val="1208"/>
      </w:trPr>
      <w:tc>
        <w:tcPr>
          <w:tcW w:w="2411" w:type="dxa"/>
          <w:tcBorders>
            <w:top w:val="nil"/>
            <w:left w:val="nil"/>
            <w:bottom w:val="single" w:sz="4" w:space="0" w:color="auto"/>
            <w:right w:val="nil"/>
          </w:tcBorders>
          <w:vAlign w:val="center"/>
          <w:hideMark/>
        </w:tcPr>
        <w:p w:rsidR="005311DD" w:rsidRPr="00A67571" w:rsidRDefault="005311DD" w:rsidP="009242B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A2467" w:rsidRDefault="00FA2467" w:rsidP="00FA246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A2467" w:rsidRDefault="00FA2467" w:rsidP="00FA2467">
          <w:pPr>
            <w:rPr>
              <w:rFonts w:ascii="Times New Roman" w:hAnsi="Times New Roman"/>
              <w:sz w:val="20"/>
            </w:rPr>
          </w:pPr>
          <w:r>
            <w:rPr>
              <w:sz w:val="20"/>
            </w:rPr>
            <w:t>89 To Vinh Dien Street, Thanh Xuan District, Hanoi City, Viet Nam</w:t>
          </w:r>
        </w:p>
        <w:p w:rsidR="00FA2467" w:rsidRDefault="00FA2467" w:rsidP="00FA2467">
          <w:pPr>
            <w:rPr>
              <w:sz w:val="20"/>
            </w:rPr>
          </w:pPr>
          <w:r>
            <w:rPr>
              <w:sz w:val="20"/>
            </w:rPr>
            <w:t>Tel:   1900.6568        Fax: 024.73.000.111</w:t>
          </w:r>
        </w:p>
        <w:p w:rsidR="005311DD" w:rsidRPr="00A67571" w:rsidRDefault="00FA2467" w:rsidP="00FA246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5311DD" w:rsidRPr="00A67571" w:rsidRDefault="005311DD" w:rsidP="005311DD">
    <w:pPr>
      <w:pStyle w:val="Header"/>
      <w:rPr>
        <w:rFonts w:ascii="Times New Roman" w:hAnsi="Times New Roman"/>
      </w:rPr>
    </w:pPr>
  </w:p>
  <w:p w:rsidR="005311DD" w:rsidRDefault="00531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67" w:rsidRDefault="00FA2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43A"/>
    <w:rsid w:val="0021543A"/>
    <w:rsid w:val="005311DD"/>
    <w:rsid w:val="00591477"/>
    <w:rsid w:val="00723ABF"/>
    <w:rsid w:val="00B30E66"/>
    <w:rsid w:val="00F070CC"/>
    <w:rsid w:val="00FA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3CA9-F814-462B-AF01-3D56E051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CC"/>
  </w:style>
  <w:style w:type="paragraph" w:styleId="Heading6">
    <w:name w:val="heading 6"/>
    <w:basedOn w:val="Normal"/>
    <w:next w:val="Normal"/>
    <w:link w:val="Heading6Char"/>
    <w:semiHidden/>
    <w:unhideWhenUsed/>
    <w:qFormat/>
    <w:rsid w:val="005311D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43A"/>
  </w:style>
  <w:style w:type="character" w:styleId="Hyperlink">
    <w:name w:val="Hyperlink"/>
    <w:basedOn w:val="DefaultParagraphFont"/>
    <w:uiPriority w:val="99"/>
    <w:semiHidden/>
    <w:unhideWhenUsed/>
    <w:rsid w:val="0021543A"/>
    <w:rPr>
      <w:color w:val="0000FF"/>
      <w:u w:val="single"/>
    </w:rPr>
  </w:style>
  <w:style w:type="paragraph" w:styleId="Header">
    <w:name w:val="header"/>
    <w:basedOn w:val="Normal"/>
    <w:link w:val="HeaderChar"/>
    <w:unhideWhenUsed/>
    <w:rsid w:val="005311DD"/>
    <w:pPr>
      <w:tabs>
        <w:tab w:val="center" w:pos="4680"/>
        <w:tab w:val="right" w:pos="9360"/>
      </w:tabs>
      <w:spacing w:after="0" w:line="240" w:lineRule="auto"/>
    </w:pPr>
  </w:style>
  <w:style w:type="character" w:customStyle="1" w:styleId="HeaderChar">
    <w:name w:val="Header Char"/>
    <w:basedOn w:val="DefaultParagraphFont"/>
    <w:link w:val="Header"/>
    <w:rsid w:val="005311DD"/>
  </w:style>
  <w:style w:type="paragraph" w:styleId="Footer">
    <w:name w:val="footer"/>
    <w:basedOn w:val="Normal"/>
    <w:link w:val="FooterChar"/>
    <w:uiPriority w:val="99"/>
    <w:unhideWhenUsed/>
    <w:rsid w:val="0053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DD"/>
  </w:style>
  <w:style w:type="character" w:customStyle="1" w:styleId="Heading6Char">
    <w:name w:val="Heading 6 Char"/>
    <w:basedOn w:val="DefaultParagraphFont"/>
    <w:link w:val="Heading6"/>
    <w:semiHidden/>
    <w:rsid w:val="005311DD"/>
    <w:rPr>
      <w:rFonts w:ascii="Calibri" w:eastAsia="Times New Roman" w:hAnsi="Calibri" w:cs="Times New Roman"/>
      <w:b/>
      <w:bCs/>
    </w:rPr>
  </w:style>
  <w:style w:type="paragraph" w:styleId="BalloonText">
    <w:name w:val="Balloon Text"/>
    <w:basedOn w:val="Normal"/>
    <w:link w:val="BalloonTextChar"/>
    <w:uiPriority w:val="99"/>
    <w:semiHidden/>
    <w:unhideWhenUsed/>
    <w:rsid w:val="0053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2755">
      <w:bodyDiv w:val="1"/>
      <w:marLeft w:val="0"/>
      <w:marRight w:val="0"/>
      <w:marTop w:val="0"/>
      <w:marBottom w:val="0"/>
      <w:divBdr>
        <w:top w:val="none" w:sz="0" w:space="0" w:color="auto"/>
        <w:left w:val="none" w:sz="0" w:space="0" w:color="auto"/>
        <w:bottom w:val="none" w:sz="0" w:space="0" w:color="auto"/>
        <w:right w:val="none" w:sz="0" w:space="0" w:color="auto"/>
      </w:divBdr>
    </w:div>
    <w:div w:id="20834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1310</Words>
  <Characters>7469</Characters>
  <Application>Microsoft Office Word</Application>
  <DocSecurity>0</DocSecurity>
  <Lines>62</Lines>
  <Paragraphs>17</Paragraphs>
  <ScaleCrop>false</ScaleCrop>
  <Company>Grizli777</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2015-10-15T01:35:00Z</dcterms:created>
  <dcterms:modified xsi:type="dcterms:W3CDTF">2020-08-26T02:28:00Z</dcterms:modified>
</cp:coreProperties>
</file>