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35" w:rsidRPr="00916C35" w:rsidRDefault="00916C35" w:rsidP="00916C35">
      <w:pPr>
        <w:shd w:val="clear" w:color="auto" w:fill="FFFFFF"/>
        <w:spacing w:before="120" w:after="120" w:line="360" w:lineRule="auto"/>
        <w:rPr>
          <w:color w:val="000000"/>
          <w:sz w:val="28"/>
          <w:szCs w:val="28"/>
        </w:rPr>
      </w:pPr>
      <w:r w:rsidRPr="00916C35">
        <w:rPr>
          <w:color w:val="000000"/>
          <w:sz w:val="28"/>
          <w:szCs w:val="28"/>
        </w:rPr>
        <w:t> </w:t>
      </w:r>
    </w:p>
    <w:p w:rsidR="00916C35" w:rsidRPr="00916C35" w:rsidRDefault="00916C35" w:rsidP="00916C35">
      <w:pPr>
        <w:shd w:val="clear" w:color="auto" w:fill="FFFFFF"/>
        <w:spacing w:before="120" w:after="120" w:line="360" w:lineRule="auto"/>
        <w:jc w:val="center"/>
        <w:rPr>
          <w:color w:val="000000"/>
          <w:sz w:val="28"/>
          <w:szCs w:val="28"/>
        </w:rPr>
      </w:pPr>
      <w:r w:rsidRPr="00916C35">
        <w:rPr>
          <w:b/>
          <w:bCs/>
          <w:color w:val="000000"/>
          <w:sz w:val="28"/>
          <w:szCs w:val="28"/>
        </w:rPr>
        <w:t>THÔNG BÁO</w:t>
      </w:r>
    </w:p>
    <w:p w:rsidR="00916C35" w:rsidRPr="00916C35" w:rsidRDefault="00916C35" w:rsidP="00916C35">
      <w:pPr>
        <w:shd w:val="clear" w:color="auto" w:fill="FFFFFF"/>
        <w:spacing w:before="120" w:after="120" w:line="360" w:lineRule="auto"/>
        <w:jc w:val="center"/>
        <w:rPr>
          <w:color w:val="000000"/>
          <w:sz w:val="28"/>
          <w:szCs w:val="28"/>
        </w:rPr>
      </w:pPr>
      <w:r w:rsidRPr="00916C35">
        <w:rPr>
          <w:color w:val="000000"/>
          <w:sz w:val="28"/>
          <w:szCs w:val="28"/>
        </w:rPr>
        <w:t>VỀ VIỆC HOÁN ĐỔI NGÀY NGHỈ, NGÀY ĐI LÀM BÙ CÁC DỊP NGHỈ LỄ, TẾT NĂM 2015</w:t>
      </w:r>
    </w:p>
    <w:p w:rsidR="00916C35" w:rsidRPr="00916C35" w:rsidRDefault="00916C35" w:rsidP="00916C35">
      <w:pPr>
        <w:shd w:val="clear" w:color="auto" w:fill="FFFFFF"/>
        <w:spacing w:before="120" w:after="120" w:line="360" w:lineRule="auto"/>
        <w:rPr>
          <w:color w:val="000000"/>
          <w:sz w:val="28"/>
          <w:szCs w:val="28"/>
        </w:rPr>
      </w:pPr>
      <w:r w:rsidRPr="00916C35">
        <w:rPr>
          <w:color w:val="000000"/>
          <w:sz w:val="28"/>
          <w:szCs w:val="28"/>
        </w:rPr>
        <w:t>Thực hiện Nghị quyết số</w:t>
      </w:r>
      <w:hyperlink r:id="rId7" w:tgtFrame="_blank" w:history="1">
        <w:r w:rsidRPr="00916C35">
          <w:rPr>
            <w:color w:val="0E70C3"/>
            <w:sz w:val="28"/>
            <w:szCs w:val="28"/>
          </w:rPr>
          <w:t> 89/NQ-CP</w:t>
        </w:r>
      </w:hyperlink>
      <w:r w:rsidRPr="00916C35">
        <w:rPr>
          <w:color w:val="000000"/>
          <w:sz w:val="28"/>
          <w:szCs w:val="28"/>
        </w:rPr>
        <w:t> ngày 05 tháng 12 năm 2014 của Chính phủ về phiên họp Chính phủ thường kỳ tháng 11 năm 2014, Bộ Lao động - Thương binh và Xã hội thông báo để các cơ quan hành chính, sự nghiệp, tổ chức chính trị, tổ chức chính trị - xã hội thực hiện lịch nghỉ Tết Âm lịch và hoán đổi ngày nghỉ hằng tuần vào các dịp nghỉ lễ năm 2015 như sau:</w:t>
      </w:r>
    </w:p>
    <w:p w:rsidR="00916C35" w:rsidRPr="00916C35" w:rsidRDefault="00916C35" w:rsidP="00916C35">
      <w:pPr>
        <w:shd w:val="clear" w:color="auto" w:fill="FFFFFF"/>
        <w:spacing w:before="120" w:after="120" w:line="360" w:lineRule="auto"/>
        <w:rPr>
          <w:color w:val="000000"/>
          <w:sz w:val="28"/>
          <w:szCs w:val="28"/>
        </w:rPr>
      </w:pPr>
      <w:bookmarkStart w:id="0" w:name="bookmark5"/>
      <w:r w:rsidRPr="00916C35">
        <w:rPr>
          <w:b/>
          <w:bCs/>
          <w:color w:val="000000"/>
          <w:sz w:val="28"/>
          <w:szCs w:val="28"/>
        </w:rPr>
        <w:t>1. </w:t>
      </w:r>
      <w:bookmarkEnd w:id="0"/>
      <w:r w:rsidRPr="00916C35">
        <w:rPr>
          <w:b/>
          <w:bCs/>
          <w:color w:val="000000"/>
          <w:sz w:val="28"/>
          <w:szCs w:val="28"/>
        </w:rPr>
        <w:t>Dịp nghỉ Tết Dương lịch</w:t>
      </w:r>
    </w:p>
    <w:p w:rsidR="00916C35" w:rsidRPr="00916C35" w:rsidRDefault="00916C35" w:rsidP="00916C35">
      <w:pPr>
        <w:shd w:val="clear" w:color="auto" w:fill="FFFFFF"/>
        <w:spacing w:before="120" w:after="120" w:line="360" w:lineRule="auto"/>
        <w:rPr>
          <w:color w:val="000000"/>
          <w:sz w:val="28"/>
          <w:szCs w:val="28"/>
        </w:rPr>
      </w:pPr>
      <w:r w:rsidRPr="00916C35">
        <w:rPr>
          <w:color w:val="000000"/>
          <w:sz w:val="28"/>
          <w:szCs w:val="28"/>
        </w:rPr>
        <w:t>Cán bộ, công chức, viên chức và người lao động của các cơ quan hành chính, sự nghiệp, tổ chức chính trị, tổ chức chính trị - xã hội (sau đây gọi chung là công chức, viên chức) đi làm thứ Bảy, ngày 27/12/2014 để nghỉ thứ Sáu, ngày 02/01/2015. Như vậy, dịp nghỉ Tết Dương lịch, công chức, viên chức nghỉ liền 04 ngày, từ ngày 01/01/2015 đến hết ngày 04/01/2015.</w:t>
      </w:r>
    </w:p>
    <w:p w:rsidR="00916C35" w:rsidRPr="00916C35" w:rsidRDefault="00916C35" w:rsidP="00916C35">
      <w:pPr>
        <w:shd w:val="clear" w:color="auto" w:fill="FFFFFF"/>
        <w:spacing w:before="120" w:after="120" w:line="360" w:lineRule="auto"/>
        <w:rPr>
          <w:color w:val="000000"/>
          <w:sz w:val="28"/>
          <w:szCs w:val="28"/>
        </w:rPr>
      </w:pPr>
      <w:bookmarkStart w:id="1" w:name="bookmark6"/>
      <w:r w:rsidRPr="00916C35">
        <w:rPr>
          <w:b/>
          <w:bCs/>
          <w:color w:val="000000"/>
          <w:sz w:val="28"/>
          <w:szCs w:val="28"/>
        </w:rPr>
        <w:t>2. </w:t>
      </w:r>
      <w:bookmarkEnd w:id="1"/>
      <w:r w:rsidRPr="00916C35">
        <w:rPr>
          <w:b/>
          <w:bCs/>
          <w:color w:val="000000"/>
          <w:sz w:val="28"/>
          <w:szCs w:val="28"/>
        </w:rPr>
        <w:t>Dịp nghỉ Tết Âm lịch</w:t>
      </w:r>
    </w:p>
    <w:p w:rsidR="00916C35" w:rsidRPr="00916C35" w:rsidRDefault="00916C35" w:rsidP="00916C35">
      <w:pPr>
        <w:shd w:val="clear" w:color="auto" w:fill="FFFFFF"/>
        <w:spacing w:before="120" w:after="120" w:line="360" w:lineRule="auto"/>
        <w:rPr>
          <w:color w:val="000000"/>
          <w:sz w:val="28"/>
          <w:szCs w:val="28"/>
        </w:rPr>
      </w:pPr>
      <w:r w:rsidRPr="00916C35">
        <w:rPr>
          <w:color w:val="000000"/>
          <w:sz w:val="28"/>
          <w:szCs w:val="28"/>
        </w:rPr>
        <w:t>Công chức, viên chức nghỉ Tết Âm lịch từ thứ Ba, ngày 17/02/2015 đến hết thứ Bảy, ngày 21/02/2015 (tức là từ ngày 29 tháng chạp năm Giáp Ngọ đến hết ngày mùng 3 tháng giêng năm Ất Mùi) và nghỉ bù vào thứ Hai, ngày 23/02/2015 (do ngày nghỉ hằng tuần thứ Bảy trùng ngày mùng 3 Tết).</w:t>
      </w:r>
    </w:p>
    <w:p w:rsidR="00916C35" w:rsidRPr="00916C35" w:rsidRDefault="00916C35" w:rsidP="00916C35">
      <w:pPr>
        <w:shd w:val="clear" w:color="auto" w:fill="FFFFFF"/>
        <w:spacing w:before="120" w:after="120" w:line="360" w:lineRule="auto"/>
        <w:rPr>
          <w:color w:val="000000"/>
          <w:sz w:val="28"/>
          <w:szCs w:val="28"/>
        </w:rPr>
      </w:pPr>
      <w:r w:rsidRPr="00916C35">
        <w:rPr>
          <w:color w:val="000000"/>
          <w:sz w:val="28"/>
          <w:szCs w:val="28"/>
        </w:rPr>
        <w:t>Về hoán đổi ngày nghỉ hằng tuần dịp nghỉ Tết Âm lịch, công chức, viên chức đi làm thứ Bảy, ngày 14/02/2015 để nghỉ thứ Hai, ngày 16/02/2015.</w:t>
      </w:r>
    </w:p>
    <w:p w:rsidR="00916C35" w:rsidRPr="00916C35" w:rsidRDefault="00916C35" w:rsidP="00916C35">
      <w:pPr>
        <w:shd w:val="clear" w:color="auto" w:fill="FFFFFF"/>
        <w:spacing w:before="120" w:after="120" w:line="360" w:lineRule="auto"/>
        <w:rPr>
          <w:color w:val="000000"/>
          <w:sz w:val="28"/>
          <w:szCs w:val="28"/>
        </w:rPr>
      </w:pPr>
      <w:r w:rsidRPr="00916C35">
        <w:rPr>
          <w:color w:val="000000"/>
          <w:sz w:val="28"/>
          <w:szCs w:val="28"/>
        </w:rPr>
        <w:t>Như vậy, dịp nghỉ Tết Âm lịch, công chức, viên chức nghỉ liền 09 ngày, từ ngày 15/02/2015 đến hết ngày 23/02/2015 (tức là từ 27 tháng chạp năm Giáp Ngọ đến hết mùng 5 tháng giêng năm Ất Mùi).</w:t>
      </w:r>
    </w:p>
    <w:p w:rsidR="00916C35" w:rsidRPr="00916C35" w:rsidRDefault="00916C35" w:rsidP="00916C35">
      <w:pPr>
        <w:shd w:val="clear" w:color="auto" w:fill="FFFFFF"/>
        <w:spacing w:before="120" w:after="120" w:line="360" w:lineRule="auto"/>
        <w:rPr>
          <w:color w:val="000000"/>
          <w:sz w:val="28"/>
          <w:szCs w:val="28"/>
        </w:rPr>
      </w:pPr>
      <w:bookmarkStart w:id="2" w:name="bookmark7"/>
      <w:r w:rsidRPr="00916C35">
        <w:rPr>
          <w:b/>
          <w:bCs/>
          <w:color w:val="000000"/>
          <w:sz w:val="28"/>
          <w:szCs w:val="28"/>
        </w:rPr>
        <w:lastRenderedPageBreak/>
        <w:t>3. </w:t>
      </w:r>
      <w:bookmarkEnd w:id="2"/>
      <w:r w:rsidRPr="00916C35">
        <w:rPr>
          <w:b/>
          <w:bCs/>
          <w:color w:val="000000"/>
          <w:sz w:val="28"/>
          <w:szCs w:val="28"/>
        </w:rPr>
        <w:t>Dịp nghỉ lễ Giỗ Tổ Hùng Vương, Ngày Chiến thắng 30/4, Ngày Quốc tế lao động 01/5</w:t>
      </w:r>
    </w:p>
    <w:p w:rsidR="00916C35" w:rsidRPr="00916C35" w:rsidRDefault="00916C35" w:rsidP="00916C35">
      <w:pPr>
        <w:shd w:val="clear" w:color="auto" w:fill="FFFFFF"/>
        <w:spacing w:before="120" w:after="120" w:line="360" w:lineRule="auto"/>
        <w:rPr>
          <w:color w:val="000000"/>
          <w:sz w:val="28"/>
          <w:szCs w:val="28"/>
        </w:rPr>
      </w:pPr>
      <w:r w:rsidRPr="00916C35">
        <w:rPr>
          <w:color w:val="000000"/>
          <w:sz w:val="28"/>
          <w:szCs w:val="28"/>
        </w:rPr>
        <w:t>Công chức, viên chức đi làm thứ Bảy, ngày 25/4/2015 để nghỉ thứ Tư, ngày 29/4/2015. Như vậy, dịp nghỉ lễ này, công chức, viên chức nghỉ liền 06 ngày, từ ngày 28/4/2015 đến hết ngày 03/5/2015.</w:t>
      </w:r>
    </w:p>
    <w:p w:rsidR="00916C35" w:rsidRPr="00916C35" w:rsidRDefault="00916C35" w:rsidP="00916C35">
      <w:pPr>
        <w:shd w:val="clear" w:color="auto" w:fill="FFFFFF"/>
        <w:spacing w:before="120" w:after="120" w:line="360" w:lineRule="auto"/>
        <w:rPr>
          <w:color w:val="000000"/>
          <w:sz w:val="28"/>
          <w:szCs w:val="28"/>
        </w:rPr>
      </w:pPr>
      <w:r w:rsidRPr="00916C35">
        <w:rPr>
          <w:color w:val="000000"/>
          <w:sz w:val="28"/>
          <w:szCs w:val="28"/>
        </w:rPr>
        <w:t>Các cơ quan, đơn vị thực hiện lịch nghỉ trên phải bố trí cán bộ, công chức, viên chức trực các dịp nghỉ lễ để giải quyết công việc, phục vụ tốt nhân dân và triển khai nghiêm túc việc đi làm bù.</w:t>
      </w:r>
    </w:p>
    <w:p w:rsidR="00916C35" w:rsidRPr="00916C35" w:rsidRDefault="00916C35" w:rsidP="00916C35">
      <w:pPr>
        <w:shd w:val="clear" w:color="auto" w:fill="FFFFFF"/>
        <w:spacing w:before="120" w:after="120" w:line="360" w:lineRule="auto"/>
        <w:rPr>
          <w:color w:val="000000"/>
          <w:sz w:val="28"/>
          <w:szCs w:val="28"/>
        </w:rPr>
      </w:pPr>
      <w:r w:rsidRPr="00916C35">
        <w:rPr>
          <w:color w:val="000000"/>
          <w:sz w:val="28"/>
          <w:szCs w:val="28"/>
        </w:rPr>
        <w:t>Các cơ quan, đơn vị không thực hiện lịch nghỉ cố định 02 ngày thứ Bảy, Chủ Nhật hằng tuần thì căn cứ vào chương trình, kế hoạch cụ thể của đơn vị để bố trí lịch nghỉ cho phù hợp, đúng pháp luật.</w:t>
      </w:r>
    </w:p>
    <w:p w:rsidR="00916C35" w:rsidRPr="00916C35" w:rsidRDefault="00916C35" w:rsidP="00916C35">
      <w:pPr>
        <w:shd w:val="clear" w:color="auto" w:fill="FFFFFF"/>
        <w:spacing w:before="120" w:after="120" w:line="360" w:lineRule="auto"/>
        <w:rPr>
          <w:color w:val="000000"/>
          <w:sz w:val="28"/>
          <w:szCs w:val="28"/>
        </w:rPr>
      </w:pPr>
      <w:r w:rsidRPr="00916C35">
        <w:rPr>
          <w:color w:val="000000"/>
          <w:sz w:val="28"/>
          <w:szCs w:val="28"/>
        </w:rPr>
        <w:t>Bộ Lao động - Thương binh và Xã hội trân trọng thông báo để các cơ quan, tổ chức và nhân dân biết, tiện liên hệ công việc./.</w:t>
      </w:r>
    </w:p>
    <w:p w:rsidR="00916C35" w:rsidRPr="00916C35" w:rsidRDefault="00916C35" w:rsidP="00916C35">
      <w:pPr>
        <w:shd w:val="clear" w:color="auto" w:fill="FFFFFF"/>
        <w:spacing w:before="120" w:after="120" w:line="360" w:lineRule="auto"/>
        <w:rPr>
          <w:color w:val="000000"/>
          <w:sz w:val="28"/>
          <w:szCs w:val="28"/>
        </w:rPr>
      </w:pPr>
      <w:r w:rsidRPr="00916C35">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916C35" w:rsidRPr="00916C35" w:rsidTr="001235AD">
        <w:trPr>
          <w:tblCellSpacing w:w="0" w:type="dxa"/>
        </w:trPr>
        <w:tc>
          <w:tcPr>
            <w:tcW w:w="4262" w:type="dxa"/>
            <w:shd w:val="clear" w:color="auto" w:fill="FFFFFF"/>
            <w:tcMar>
              <w:top w:w="0" w:type="dxa"/>
              <w:left w:w="108" w:type="dxa"/>
              <w:bottom w:w="0" w:type="dxa"/>
              <w:right w:w="108" w:type="dxa"/>
            </w:tcMar>
            <w:hideMark/>
          </w:tcPr>
          <w:p w:rsidR="00916C35" w:rsidRPr="00916C35" w:rsidRDefault="00916C35" w:rsidP="00916C35">
            <w:pPr>
              <w:spacing w:before="120" w:after="120" w:line="360" w:lineRule="auto"/>
              <w:rPr>
                <w:color w:val="000000"/>
                <w:sz w:val="28"/>
                <w:szCs w:val="28"/>
              </w:rPr>
            </w:pPr>
            <w:r w:rsidRPr="00916C35">
              <w:rPr>
                <w:b/>
                <w:bCs/>
                <w:i/>
                <w:iCs/>
                <w:color w:val="000000"/>
                <w:sz w:val="28"/>
                <w:szCs w:val="28"/>
              </w:rPr>
              <w:t> </w:t>
            </w:r>
          </w:p>
          <w:p w:rsidR="00916C35" w:rsidRPr="00916C35" w:rsidRDefault="00916C35" w:rsidP="00916C35">
            <w:pPr>
              <w:spacing w:before="120" w:after="120" w:line="360" w:lineRule="auto"/>
              <w:rPr>
                <w:color w:val="000000"/>
                <w:sz w:val="28"/>
                <w:szCs w:val="28"/>
              </w:rPr>
            </w:pPr>
            <w:r w:rsidRPr="00916C35">
              <w:rPr>
                <w:b/>
                <w:bCs/>
                <w:i/>
                <w:iCs/>
                <w:color w:val="000000"/>
                <w:sz w:val="28"/>
                <w:szCs w:val="28"/>
              </w:rPr>
              <w:t>Nơi nhận:</w:t>
            </w:r>
            <w:r w:rsidRPr="00916C35">
              <w:rPr>
                <w:color w:val="000000"/>
                <w:sz w:val="28"/>
                <w:szCs w:val="28"/>
              </w:rPr>
              <w:br/>
              <w:t>- Ban Bí thư Trung ương Đảng;</w:t>
            </w:r>
            <w:r w:rsidRPr="00916C35">
              <w:rPr>
                <w:color w:val="000000"/>
                <w:sz w:val="28"/>
                <w:szCs w:val="28"/>
              </w:rPr>
              <w:br/>
              <w:t>- Thủ tướng, Các Phó Thủ tướng Chính phủ;</w:t>
            </w:r>
            <w:r w:rsidRPr="00916C35">
              <w:rPr>
                <w:color w:val="000000"/>
                <w:sz w:val="28"/>
                <w:szCs w:val="28"/>
              </w:rPr>
              <w:br/>
              <w:t>- Văn phòng Trung ương và các Ban của Đảng;</w:t>
            </w:r>
            <w:r w:rsidRPr="00916C35">
              <w:rPr>
                <w:color w:val="000000"/>
                <w:sz w:val="28"/>
                <w:szCs w:val="28"/>
              </w:rPr>
              <w:br/>
              <w:t>- Văn phòng Quốc hội;</w:t>
            </w:r>
            <w:r w:rsidRPr="00916C35">
              <w:rPr>
                <w:color w:val="000000"/>
                <w:sz w:val="28"/>
                <w:szCs w:val="28"/>
              </w:rPr>
              <w:br/>
              <w:t>- Văn phòng Chủ tịch nước;</w:t>
            </w:r>
            <w:r w:rsidRPr="00916C35">
              <w:rPr>
                <w:color w:val="000000"/>
                <w:sz w:val="28"/>
                <w:szCs w:val="28"/>
              </w:rPr>
              <w:br/>
              <w:t>- Văn phòng Chính phủ;</w:t>
            </w:r>
            <w:r w:rsidRPr="00916C35">
              <w:rPr>
                <w:color w:val="000000"/>
                <w:sz w:val="28"/>
                <w:szCs w:val="28"/>
              </w:rPr>
              <w:br/>
              <w:t>- Văn phòng Tổng Bí thư;</w:t>
            </w:r>
            <w:r w:rsidRPr="00916C35">
              <w:rPr>
                <w:color w:val="000000"/>
                <w:sz w:val="28"/>
                <w:szCs w:val="28"/>
              </w:rPr>
              <w:br/>
            </w:r>
            <w:r w:rsidRPr="00916C35">
              <w:rPr>
                <w:color w:val="000000"/>
                <w:sz w:val="28"/>
                <w:szCs w:val="28"/>
              </w:rPr>
              <w:lastRenderedPageBreak/>
              <w:t>- Hội đồng Dân tộc và các Ủy ban của Quốc hội;</w:t>
            </w:r>
            <w:r w:rsidRPr="00916C35">
              <w:rPr>
                <w:color w:val="000000"/>
                <w:sz w:val="28"/>
                <w:szCs w:val="28"/>
              </w:rPr>
              <w:br/>
              <w:t>- Các Bộ, cơ quan ngang bộ, cơ quan thuộc CP;</w:t>
            </w:r>
            <w:r w:rsidRPr="00916C35">
              <w:rPr>
                <w:color w:val="000000"/>
                <w:sz w:val="28"/>
                <w:szCs w:val="28"/>
              </w:rPr>
              <w:br/>
              <w:t>- UBND các tỉnh, thành phố trực thuộc trung ương;</w:t>
            </w:r>
            <w:r w:rsidRPr="00916C35">
              <w:rPr>
                <w:color w:val="000000"/>
                <w:sz w:val="28"/>
                <w:szCs w:val="28"/>
              </w:rPr>
              <w:br/>
              <w:t>- Viện Kiểm sát nhân dân tối cao;</w:t>
            </w:r>
            <w:r w:rsidRPr="00916C35">
              <w:rPr>
                <w:color w:val="000000"/>
                <w:sz w:val="28"/>
                <w:szCs w:val="28"/>
              </w:rPr>
              <w:br/>
              <w:t>- Tòa án nhân dân tối cao;</w:t>
            </w:r>
            <w:r w:rsidRPr="00916C35">
              <w:rPr>
                <w:color w:val="000000"/>
                <w:sz w:val="28"/>
                <w:szCs w:val="28"/>
              </w:rPr>
              <w:br/>
              <w:t>- Kiểm toán nhà nước;</w:t>
            </w:r>
            <w:r w:rsidRPr="00916C35">
              <w:rPr>
                <w:color w:val="000000"/>
                <w:sz w:val="28"/>
                <w:szCs w:val="28"/>
              </w:rPr>
              <w:br/>
              <w:t>- UB Trung ương Mặt trận Tổ quốc Việt Nam;</w:t>
            </w:r>
            <w:r w:rsidRPr="00916C35">
              <w:rPr>
                <w:color w:val="000000"/>
                <w:sz w:val="28"/>
                <w:szCs w:val="28"/>
              </w:rPr>
              <w:br/>
              <w:t>- Cơ quan trung ương của các đoàn thể;</w:t>
            </w:r>
            <w:r w:rsidRPr="00916C35">
              <w:rPr>
                <w:color w:val="000000"/>
                <w:sz w:val="28"/>
                <w:szCs w:val="28"/>
              </w:rPr>
              <w:br/>
              <w:t>- Cổng TTĐT Chính phủ, Website Bộ LĐTBXH;</w:t>
            </w:r>
            <w:r w:rsidRPr="00916C35">
              <w:rPr>
                <w:color w:val="000000"/>
                <w:sz w:val="28"/>
                <w:szCs w:val="28"/>
              </w:rPr>
              <w:br/>
              <w:t>- Lưu: VT, Cục ATLĐ (3).</w:t>
            </w:r>
          </w:p>
        </w:tc>
        <w:tc>
          <w:tcPr>
            <w:tcW w:w="4263" w:type="dxa"/>
            <w:shd w:val="clear" w:color="auto" w:fill="FFFFFF"/>
            <w:tcMar>
              <w:top w:w="0" w:type="dxa"/>
              <w:left w:w="108" w:type="dxa"/>
              <w:bottom w:w="0" w:type="dxa"/>
              <w:right w:w="108" w:type="dxa"/>
            </w:tcMar>
            <w:hideMark/>
          </w:tcPr>
          <w:p w:rsidR="00916C35" w:rsidRPr="00916C35" w:rsidRDefault="00916C35" w:rsidP="00916C35">
            <w:pPr>
              <w:spacing w:before="120" w:after="120" w:line="360" w:lineRule="auto"/>
              <w:jc w:val="center"/>
              <w:rPr>
                <w:color w:val="000000"/>
                <w:sz w:val="28"/>
                <w:szCs w:val="28"/>
              </w:rPr>
            </w:pPr>
            <w:r w:rsidRPr="00916C35">
              <w:rPr>
                <w:b/>
                <w:bCs/>
                <w:color w:val="000000"/>
                <w:sz w:val="28"/>
                <w:szCs w:val="28"/>
              </w:rPr>
              <w:lastRenderedPageBreak/>
              <w:t>BỘ TRƯỞNG</w:t>
            </w:r>
            <w:r w:rsidRPr="00916C35">
              <w:rPr>
                <w:b/>
                <w:bCs/>
                <w:color w:val="000000"/>
                <w:sz w:val="28"/>
                <w:szCs w:val="28"/>
              </w:rPr>
              <w:br/>
            </w:r>
            <w:r w:rsidRPr="00916C35">
              <w:rPr>
                <w:b/>
                <w:bCs/>
                <w:color w:val="000000"/>
                <w:sz w:val="28"/>
                <w:szCs w:val="28"/>
              </w:rPr>
              <w:br/>
            </w:r>
            <w:r w:rsidRPr="00916C35">
              <w:rPr>
                <w:b/>
                <w:bCs/>
                <w:color w:val="000000"/>
                <w:sz w:val="28"/>
                <w:szCs w:val="28"/>
              </w:rPr>
              <w:br/>
            </w:r>
            <w:r w:rsidRPr="00916C35">
              <w:rPr>
                <w:b/>
                <w:bCs/>
                <w:color w:val="000000"/>
                <w:sz w:val="28"/>
                <w:szCs w:val="28"/>
              </w:rPr>
              <w:br/>
            </w:r>
            <w:r w:rsidRPr="00916C35">
              <w:rPr>
                <w:b/>
                <w:bCs/>
                <w:color w:val="000000"/>
                <w:sz w:val="28"/>
                <w:szCs w:val="28"/>
              </w:rPr>
              <w:br/>
              <w:t>Phạm Thị Hải Chuyền</w:t>
            </w:r>
          </w:p>
        </w:tc>
      </w:tr>
    </w:tbl>
    <w:p w:rsidR="00916C35" w:rsidRPr="00916C35" w:rsidRDefault="00916C35" w:rsidP="00916C35">
      <w:pPr>
        <w:shd w:val="clear" w:color="auto" w:fill="FFFFFF"/>
        <w:spacing w:before="120" w:after="120" w:line="360" w:lineRule="auto"/>
        <w:rPr>
          <w:color w:val="000000"/>
          <w:sz w:val="28"/>
          <w:szCs w:val="28"/>
        </w:rPr>
      </w:pPr>
      <w:r w:rsidRPr="00916C35">
        <w:rPr>
          <w:b/>
          <w:bCs/>
          <w:color w:val="000000"/>
          <w:sz w:val="28"/>
          <w:szCs w:val="28"/>
        </w:rPr>
        <w:lastRenderedPageBreak/>
        <w:t> </w:t>
      </w:r>
    </w:p>
    <w:p w:rsidR="00916C35" w:rsidRPr="00916C35" w:rsidRDefault="00916C35" w:rsidP="00916C35">
      <w:pPr>
        <w:spacing w:before="120" w:after="120" w:line="360" w:lineRule="auto"/>
        <w:rPr>
          <w:sz w:val="28"/>
          <w:szCs w:val="28"/>
        </w:rPr>
      </w:pPr>
    </w:p>
    <w:p w:rsidR="003C3FB5" w:rsidRPr="00916C35" w:rsidRDefault="003C3FB5" w:rsidP="00916C35">
      <w:pPr>
        <w:spacing w:before="120" w:after="120" w:line="360" w:lineRule="auto"/>
        <w:rPr>
          <w:sz w:val="28"/>
          <w:szCs w:val="28"/>
        </w:rPr>
      </w:pPr>
    </w:p>
    <w:sectPr w:rsidR="003C3FB5" w:rsidRPr="00916C35" w:rsidSect="00D9152F">
      <w:headerReference w:type="even" r:id="rId8"/>
      <w:headerReference w:type="default" r:id="rId9"/>
      <w:footerReference w:type="even" r:id="rId10"/>
      <w:footerReference w:type="default" r:id="rId11"/>
      <w:headerReference w:type="first" r:id="rId12"/>
      <w:footerReference w:type="first" r:id="rId13"/>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901" w:rsidRDefault="00157901" w:rsidP="00D9152F">
      <w:r>
        <w:separator/>
      </w:r>
    </w:p>
  </w:endnote>
  <w:endnote w:type="continuationSeparator" w:id="0">
    <w:p w:rsidR="00157901" w:rsidRDefault="00157901"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C15" w:rsidRDefault="00A04C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C15" w:rsidRDefault="00A04C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901" w:rsidRDefault="00157901" w:rsidP="00D9152F">
      <w:r>
        <w:separator/>
      </w:r>
    </w:p>
  </w:footnote>
  <w:footnote w:type="continuationSeparator" w:id="0">
    <w:p w:rsidR="00157901" w:rsidRDefault="00157901"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C15" w:rsidRDefault="00A04C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A04C15" w:rsidRDefault="00A04C15" w:rsidP="00A04C15">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A04C15" w:rsidRDefault="00A04C15" w:rsidP="00A04C15">
          <w:pPr>
            <w:rPr>
              <w:sz w:val="20"/>
            </w:rPr>
          </w:pPr>
          <w:r>
            <w:rPr>
              <w:sz w:val="20"/>
            </w:rPr>
            <w:t>89 To Vinh Dien Street, Thanh Xuan District, Hanoi City, Viet Nam</w:t>
          </w:r>
        </w:p>
        <w:p w:rsidR="00A04C15" w:rsidRDefault="00A04C15" w:rsidP="00A04C15">
          <w:pPr>
            <w:rPr>
              <w:sz w:val="20"/>
            </w:rPr>
          </w:pPr>
          <w:r>
            <w:rPr>
              <w:sz w:val="20"/>
            </w:rPr>
            <w:t>Tel:   1900.6568             Fax: 024.73.000.111</w:t>
          </w:r>
        </w:p>
        <w:p w:rsidR="00667F66" w:rsidRPr="00A67571" w:rsidRDefault="00A04C15" w:rsidP="00A04C15">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3" w:name="_GoBack"/>
          <w:bookmarkEnd w:id="3"/>
        </w:p>
      </w:tc>
    </w:tr>
  </w:tbl>
  <w:p w:rsidR="002F4299" w:rsidRPr="00667F66" w:rsidRDefault="00157901" w:rsidP="00667F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C15" w:rsidRDefault="00A04C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57901"/>
    <w:rsid w:val="00173992"/>
    <w:rsid w:val="001B5441"/>
    <w:rsid w:val="00204E8C"/>
    <w:rsid w:val="00243C55"/>
    <w:rsid w:val="002C23E5"/>
    <w:rsid w:val="00315ABB"/>
    <w:rsid w:val="003C3FB5"/>
    <w:rsid w:val="00411A50"/>
    <w:rsid w:val="004D0C9E"/>
    <w:rsid w:val="005018E4"/>
    <w:rsid w:val="00535951"/>
    <w:rsid w:val="005531CD"/>
    <w:rsid w:val="00571B54"/>
    <w:rsid w:val="005D507F"/>
    <w:rsid w:val="0062074F"/>
    <w:rsid w:val="00667F66"/>
    <w:rsid w:val="00671A17"/>
    <w:rsid w:val="00686662"/>
    <w:rsid w:val="006F55B5"/>
    <w:rsid w:val="00705FA7"/>
    <w:rsid w:val="0073387E"/>
    <w:rsid w:val="00747965"/>
    <w:rsid w:val="007D6C38"/>
    <w:rsid w:val="00817063"/>
    <w:rsid w:val="008D06F6"/>
    <w:rsid w:val="00912BDF"/>
    <w:rsid w:val="00916C35"/>
    <w:rsid w:val="0093601B"/>
    <w:rsid w:val="00993721"/>
    <w:rsid w:val="00A04C15"/>
    <w:rsid w:val="00A47944"/>
    <w:rsid w:val="00AB7845"/>
    <w:rsid w:val="00B12B59"/>
    <w:rsid w:val="00B244DE"/>
    <w:rsid w:val="00B5216B"/>
    <w:rsid w:val="00C36E7C"/>
    <w:rsid w:val="00C84163"/>
    <w:rsid w:val="00C90FD0"/>
    <w:rsid w:val="00C9444D"/>
    <w:rsid w:val="00CC2416"/>
    <w:rsid w:val="00CE0854"/>
    <w:rsid w:val="00D34F96"/>
    <w:rsid w:val="00D9152F"/>
    <w:rsid w:val="00E06E5D"/>
    <w:rsid w:val="00F03E50"/>
    <w:rsid w:val="00F03F8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1BBBD-6EFA-4039-9F28-2ACBCDF3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876575748">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huvienphapluat.vn/phap-luat/tim-van-ban.aspx?keyword=89/NQ-CP&amp;area=2&amp;type=0&amp;match=False&amp;vc=True&amp;lan=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2015-01-02T03:20:00Z</dcterms:created>
  <dcterms:modified xsi:type="dcterms:W3CDTF">2020-08-27T01:51:00Z</dcterms:modified>
</cp:coreProperties>
</file>