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AF" w:rsidRPr="009545AF" w:rsidRDefault="009545AF" w:rsidP="009545AF">
      <w:pPr>
        <w:pStyle w:val="NormalWeb"/>
        <w:shd w:val="clear" w:color="auto" w:fill="FFFFFF"/>
        <w:spacing w:before="120" w:beforeAutospacing="0" w:after="120" w:afterAutospacing="0" w:line="360" w:lineRule="auto"/>
        <w:textAlignment w:val="baseline"/>
        <w:rPr>
          <w:rStyle w:val="Strong"/>
          <w:rFonts w:ascii="Times New Roman" w:hAnsi="Times New Roman"/>
          <w:color w:val="000000"/>
          <w:sz w:val="28"/>
          <w:szCs w:val="28"/>
          <w:bdr w:val="none" w:sz="0" w:space="0" w:color="auto" w:frame="1"/>
        </w:rPr>
      </w:pPr>
    </w:p>
    <w:p w:rsidR="009545AF" w:rsidRPr="009545AF" w:rsidRDefault="009545AF" w:rsidP="009545AF">
      <w:pPr>
        <w:pStyle w:val="NormalWeb"/>
        <w:shd w:val="clear" w:color="auto" w:fill="FFFFFF"/>
        <w:spacing w:before="120" w:beforeAutospacing="0" w:after="120" w:afterAutospacing="0" w:line="360" w:lineRule="auto"/>
        <w:jc w:val="center"/>
        <w:textAlignment w:val="baseline"/>
        <w:rPr>
          <w:rFonts w:ascii="Times New Roman" w:hAnsi="Times New Roman"/>
          <w:color w:val="000000"/>
          <w:sz w:val="28"/>
          <w:szCs w:val="28"/>
        </w:rPr>
      </w:pPr>
      <w:r w:rsidRPr="009545AF">
        <w:rPr>
          <w:rStyle w:val="Strong"/>
          <w:rFonts w:ascii="Times New Roman" w:hAnsi="Times New Roman"/>
          <w:color w:val="000000"/>
          <w:sz w:val="28"/>
          <w:szCs w:val="28"/>
          <w:bdr w:val="none" w:sz="0" w:space="0" w:color="auto" w:frame="1"/>
        </w:rPr>
        <w:t>QUYẾT ĐỊNH</w:t>
      </w:r>
    </w:p>
    <w:p w:rsidR="009545AF" w:rsidRPr="009545AF" w:rsidRDefault="009545AF" w:rsidP="009545AF">
      <w:pPr>
        <w:pStyle w:val="NormalWeb"/>
        <w:shd w:val="clear" w:color="auto" w:fill="FFFFFF"/>
        <w:spacing w:before="120" w:beforeAutospacing="0" w:after="120" w:afterAutospacing="0" w:line="360" w:lineRule="auto"/>
        <w:jc w:val="center"/>
        <w:textAlignment w:val="baseline"/>
        <w:rPr>
          <w:rFonts w:ascii="Times New Roman" w:hAnsi="Times New Roman"/>
          <w:color w:val="000000"/>
          <w:sz w:val="28"/>
          <w:szCs w:val="28"/>
        </w:rPr>
      </w:pPr>
      <w:r w:rsidRPr="009545AF">
        <w:rPr>
          <w:rStyle w:val="Strong"/>
          <w:rFonts w:ascii="Times New Roman" w:hAnsi="Times New Roman"/>
          <w:color w:val="000000"/>
          <w:sz w:val="28"/>
          <w:szCs w:val="28"/>
          <w:bdr w:val="none" w:sz="0" w:space="0" w:color="auto" w:frame="1"/>
        </w:rPr>
        <w:t>Quy định việc quản lý, sử dụng số tiền thu được</w:t>
      </w:r>
    </w:p>
    <w:p w:rsidR="009545AF" w:rsidRPr="009545AF" w:rsidRDefault="009545AF" w:rsidP="009545AF">
      <w:pPr>
        <w:pStyle w:val="NormalWeb"/>
        <w:shd w:val="clear" w:color="auto" w:fill="FFFFFF"/>
        <w:spacing w:before="120" w:beforeAutospacing="0" w:after="120" w:afterAutospacing="0" w:line="360" w:lineRule="auto"/>
        <w:jc w:val="center"/>
        <w:textAlignment w:val="baseline"/>
        <w:rPr>
          <w:rFonts w:ascii="Times New Roman" w:hAnsi="Times New Roman"/>
          <w:color w:val="000000"/>
          <w:sz w:val="28"/>
          <w:szCs w:val="28"/>
        </w:rPr>
      </w:pPr>
      <w:r w:rsidRPr="009545AF">
        <w:rPr>
          <w:rStyle w:val="Strong"/>
          <w:rFonts w:ascii="Times New Roman" w:hAnsi="Times New Roman"/>
          <w:color w:val="000000"/>
          <w:sz w:val="28"/>
          <w:szCs w:val="28"/>
          <w:bdr w:val="none" w:sz="0" w:space="0" w:color="auto" w:frame="1"/>
        </w:rPr>
        <w:t>từ sắp xếp nhà, đất tại các đơn vị thuộc Bộ Quốc phòng</w:t>
      </w:r>
    </w:p>
    <w:p w:rsidR="009545AF" w:rsidRPr="009545AF" w:rsidRDefault="009545AF" w:rsidP="009545AF">
      <w:pPr>
        <w:pStyle w:val="NormalWeb"/>
        <w:shd w:val="clear" w:color="auto" w:fill="FFFFFF"/>
        <w:spacing w:before="120" w:beforeAutospacing="0" w:after="120" w:afterAutospacing="0" w:line="360" w:lineRule="auto"/>
        <w:jc w:val="center"/>
        <w:textAlignment w:val="baseline"/>
        <w:rPr>
          <w:rFonts w:ascii="Times New Roman" w:hAnsi="Times New Roman"/>
          <w:color w:val="000000"/>
          <w:sz w:val="28"/>
          <w:szCs w:val="28"/>
        </w:rPr>
      </w:pPr>
      <w:r w:rsidRPr="009545AF">
        <w:rPr>
          <w:rFonts w:ascii="Times New Roman" w:hAnsi="Times New Roman"/>
          <w:color w:val="000000"/>
          <w:sz w:val="28"/>
          <w:szCs w:val="28"/>
        </w:rPr>
        <w:t>_________________</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 </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Emphasis"/>
          <w:rFonts w:ascii="Times New Roman" w:hAnsi="Times New Roman"/>
          <w:color w:val="000000"/>
          <w:sz w:val="28"/>
          <w:szCs w:val="28"/>
          <w:bdr w:val="none" w:sz="0" w:space="0" w:color="auto" w:frame="1"/>
        </w:rPr>
        <w:t>Căn cứ Luật Tổ chức Chính phủ ngày 25 tháng 12 năm 2001;</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Emphasis"/>
          <w:rFonts w:ascii="Times New Roman" w:hAnsi="Times New Roman"/>
          <w:color w:val="000000"/>
          <w:sz w:val="28"/>
          <w:szCs w:val="28"/>
          <w:bdr w:val="none" w:sz="0" w:space="0" w:color="auto" w:frame="1"/>
        </w:rPr>
        <w:t>Căn cứ Luật Ngân sách nhà nước ngày 16 tháng 12 năm 2002;</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Emphasis"/>
          <w:rFonts w:ascii="Times New Roman" w:hAnsi="Times New Roman"/>
          <w:color w:val="000000"/>
          <w:sz w:val="28"/>
          <w:szCs w:val="28"/>
          <w:bdr w:val="none" w:sz="0" w:space="0" w:color="auto" w:frame="1"/>
        </w:rPr>
        <w:t>Căn cứ Luật Đất đai ngày 29 tháng 11 năm 2013;</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Emphasis"/>
          <w:rFonts w:ascii="Times New Roman" w:hAnsi="Times New Roman"/>
          <w:color w:val="000000"/>
          <w:sz w:val="28"/>
          <w:szCs w:val="28"/>
          <w:bdr w:val="none" w:sz="0" w:space="0" w:color="auto" w:frame="1"/>
        </w:rPr>
        <w:t>Căn cứ Luật Quản lý, sử dụng tài sản nhà nước ngày 03 tháng 6 năm 2008;</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Emphasis"/>
          <w:rFonts w:ascii="Times New Roman" w:hAnsi="Times New Roman"/>
          <w:color w:val="000000"/>
          <w:sz w:val="28"/>
          <w:szCs w:val="28"/>
          <w:bdr w:val="none" w:sz="0" w:space="0" w:color="auto" w:frame="1"/>
        </w:rPr>
        <w:t>Căn cứ Điều 49 Nghị định số</w:t>
      </w:r>
      <w:r w:rsidRPr="009545AF">
        <w:rPr>
          <w:rStyle w:val="apple-converted-space"/>
          <w:rFonts w:ascii="Times New Roman" w:hAnsi="Times New Roman"/>
          <w:i/>
          <w:iCs/>
          <w:color w:val="000000"/>
          <w:sz w:val="28"/>
          <w:szCs w:val="28"/>
          <w:bdr w:val="none" w:sz="0" w:space="0" w:color="auto" w:frame="1"/>
        </w:rPr>
        <w:t> </w:t>
      </w:r>
      <w:hyperlink r:id="rId7" w:tgtFrame="_blank" w:history="1">
        <w:r w:rsidRPr="009545AF">
          <w:rPr>
            <w:rStyle w:val="Hyperlink"/>
            <w:rFonts w:ascii="Times New Roman" w:hAnsi="Times New Roman"/>
            <w:color w:val="auto"/>
            <w:sz w:val="28"/>
            <w:szCs w:val="28"/>
            <w:u w:val="none"/>
            <w:bdr w:val="none" w:sz="0" w:space="0" w:color="auto" w:frame="1"/>
          </w:rPr>
          <w:t>106/2009/NĐ-CP</w:t>
        </w:r>
      </w:hyperlink>
      <w:r w:rsidRPr="009545AF">
        <w:rPr>
          <w:rStyle w:val="apple-converted-space"/>
          <w:rFonts w:ascii="Times New Roman" w:hAnsi="Times New Roman"/>
          <w:i/>
          <w:iCs/>
          <w:color w:val="000000"/>
          <w:sz w:val="28"/>
          <w:szCs w:val="28"/>
          <w:bdr w:val="none" w:sz="0" w:space="0" w:color="auto" w:frame="1"/>
        </w:rPr>
        <w:t> </w:t>
      </w:r>
      <w:r w:rsidRPr="009545AF">
        <w:rPr>
          <w:rStyle w:val="Emphasis"/>
          <w:rFonts w:ascii="Times New Roman" w:hAnsi="Times New Roman"/>
          <w:color w:val="000000"/>
          <w:sz w:val="28"/>
          <w:szCs w:val="28"/>
          <w:bdr w:val="none" w:sz="0" w:space="0" w:color="auto" w:frame="1"/>
        </w:rPr>
        <w:t>ngày 16 tháng 11 năm 2009 của Chính phủ quy định việc quản lý, sử dụng tài sản nhà nước tại đơn vị vũ trang nhân dân;</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Emphasis"/>
          <w:rFonts w:ascii="Times New Roman" w:hAnsi="Times New Roman"/>
          <w:color w:val="000000"/>
          <w:sz w:val="28"/>
          <w:szCs w:val="28"/>
          <w:bdr w:val="none" w:sz="0" w:space="0" w:color="auto" w:frame="1"/>
        </w:rPr>
        <w:t>Theo đề nghị của Bộ trưởng Bộ Quốc phòng,</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Emphasis"/>
          <w:rFonts w:ascii="Times New Roman" w:hAnsi="Times New Roman"/>
          <w:color w:val="000000"/>
          <w:sz w:val="28"/>
          <w:szCs w:val="28"/>
          <w:bdr w:val="none" w:sz="0" w:space="0" w:color="auto" w:frame="1"/>
        </w:rPr>
        <w:t>Thủ tướng Chính phủ ban hành Quyết định quy định việc quản lý, sử dụng số tiền thu được từ sắp xếp nhà, đất tại các đơn vị thuộc Bộ Quốc phòng.</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Strong"/>
          <w:rFonts w:ascii="Times New Roman" w:hAnsi="Times New Roman"/>
          <w:color w:val="000000"/>
          <w:sz w:val="28"/>
          <w:szCs w:val="28"/>
          <w:bdr w:val="none" w:sz="0" w:space="0" w:color="auto" w:frame="1"/>
        </w:rPr>
        <w:t>Điều</w:t>
      </w:r>
      <w:r w:rsidRPr="009545AF">
        <w:rPr>
          <w:rStyle w:val="apple-converted-space"/>
          <w:rFonts w:ascii="Times New Roman" w:hAnsi="Times New Roman"/>
          <w:b/>
          <w:bCs/>
          <w:color w:val="000000"/>
          <w:sz w:val="28"/>
          <w:szCs w:val="28"/>
          <w:bdr w:val="none" w:sz="0" w:space="0" w:color="auto" w:frame="1"/>
        </w:rPr>
        <w:t> </w:t>
      </w:r>
      <w:bookmarkStart w:id="0" w:name="Dieu_1"/>
      <w:bookmarkEnd w:id="0"/>
      <w:r w:rsidRPr="009545AF">
        <w:rPr>
          <w:rStyle w:val="Strong"/>
          <w:rFonts w:ascii="Times New Roman" w:hAnsi="Times New Roman"/>
          <w:color w:val="000000"/>
          <w:sz w:val="28"/>
          <w:szCs w:val="28"/>
          <w:bdr w:val="none" w:sz="0" w:space="0" w:color="auto" w:frame="1"/>
        </w:rPr>
        <w:t>1. Phạm vi điều chỉnh</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1. Quyết định này quy định việc quản lý, sử dụng số tiền thu được từ sắp xếp nhà, đất theo phương án tổng thể được cấp có thẩm quyền phê duyệt tại các đơn vị thuộc Bộ Quốc phòng.</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2. Tiền thu được từ sắp xếp nhà, đất đã thực hiện giao vốn cho doanh nghiệp quân đội không thuộc phạm vi điều chỉnh của Quyết định này.</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Strong"/>
          <w:rFonts w:ascii="Times New Roman" w:hAnsi="Times New Roman"/>
          <w:color w:val="000000"/>
          <w:sz w:val="28"/>
          <w:szCs w:val="28"/>
          <w:bdr w:val="none" w:sz="0" w:space="0" w:color="auto" w:frame="1"/>
        </w:rPr>
        <w:t>Điều</w:t>
      </w:r>
      <w:r w:rsidRPr="009545AF">
        <w:rPr>
          <w:rStyle w:val="apple-converted-space"/>
          <w:rFonts w:ascii="Times New Roman" w:hAnsi="Times New Roman"/>
          <w:b/>
          <w:bCs/>
          <w:color w:val="000000"/>
          <w:sz w:val="28"/>
          <w:szCs w:val="28"/>
          <w:bdr w:val="none" w:sz="0" w:space="0" w:color="auto" w:frame="1"/>
        </w:rPr>
        <w:t> </w:t>
      </w:r>
      <w:bookmarkStart w:id="1" w:name="Dieu_2"/>
      <w:bookmarkEnd w:id="1"/>
      <w:r w:rsidRPr="009545AF">
        <w:rPr>
          <w:rStyle w:val="Strong"/>
          <w:rFonts w:ascii="Times New Roman" w:hAnsi="Times New Roman"/>
          <w:color w:val="000000"/>
          <w:sz w:val="28"/>
          <w:szCs w:val="28"/>
          <w:bdr w:val="none" w:sz="0" w:space="0" w:color="auto" w:frame="1"/>
        </w:rPr>
        <w:t>2. Đối tượng áp dụng</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lastRenderedPageBreak/>
        <w:t>Quyết định này áp dụng đối với các cơ quan, đơn vị, doanh nghiệp và tổ chức khác thuộc Bộ Quốc phòng (sau đây gọi là đơn vị) và các tổ chức, cá nhân có liên quan trong việc thực hiện sắp xếp nhà, đất theo quy định của pháp luật.</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Strong"/>
          <w:rFonts w:ascii="Times New Roman" w:hAnsi="Times New Roman"/>
          <w:color w:val="000000"/>
          <w:sz w:val="28"/>
          <w:szCs w:val="28"/>
          <w:bdr w:val="none" w:sz="0" w:space="0" w:color="auto" w:frame="1"/>
        </w:rPr>
        <w:t>Điều</w:t>
      </w:r>
      <w:r w:rsidRPr="009545AF">
        <w:rPr>
          <w:rStyle w:val="apple-converted-space"/>
          <w:rFonts w:ascii="Times New Roman" w:hAnsi="Times New Roman"/>
          <w:b/>
          <w:bCs/>
          <w:color w:val="000000"/>
          <w:sz w:val="28"/>
          <w:szCs w:val="28"/>
          <w:bdr w:val="none" w:sz="0" w:space="0" w:color="auto" w:frame="1"/>
        </w:rPr>
        <w:t> </w:t>
      </w:r>
      <w:bookmarkStart w:id="2" w:name="Dieu_3"/>
      <w:bookmarkEnd w:id="2"/>
      <w:r w:rsidRPr="009545AF">
        <w:rPr>
          <w:rStyle w:val="Strong"/>
          <w:rFonts w:ascii="Times New Roman" w:hAnsi="Times New Roman"/>
          <w:color w:val="000000"/>
          <w:sz w:val="28"/>
          <w:szCs w:val="28"/>
          <w:bdr w:val="none" w:sz="0" w:space="0" w:color="auto" w:frame="1"/>
        </w:rPr>
        <w:t>3. Các khoản thu</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Các khoản thu được từ việc sắp xếp nhà, đất tại các đơn vị thuộc Bộ Quốc phòng, gồm:</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1. Tiền thu từ bán nhà và tài sản khác gắn liền với đất, chuyển nhượng quyền sử dụng đất.</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2. Tiền thu từ chuyển mục đích sử dụng đất sử dụng vào mục đích quốc phòng (sau đây gọi là đất quốc phòng) sang sử dụng vào mục đích khác.</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3. Tiền bồi thường, hỗ trợ về đất, tài sản gắn liền với đất bị thu hồi trong trường hợp Nhà nước thu hồi đất quốc phòng sang sử dụng vào mục đích khác.</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Strong"/>
          <w:rFonts w:ascii="Times New Roman" w:hAnsi="Times New Roman"/>
          <w:color w:val="000000"/>
          <w:sz w:val="28"/>
          <w:szCs w:val="28"/>
          <w:bdr w:val="none" w:sz="0" w:space="0" w:color="auto" w:frame="1"/>
        </w:rPr>
        <w:t>Điều</w:t>
      </w:r>
      <w:r w:rsidRPr="009545AF">
        <w:rPr>
          <w:rStyle w:val="apple-converted-space"/>
          <w:rFonts w:ascii="Times New Roman" w:hAnsi="Times New Roman"/>
          <w:b/>
          <w:bCs/>
          <w:color w:val="000000"/>
          <w:sz w:val="28"/>
          <w:szCs w:val="28"/>
          <w:bdr w:val="none" w:sz="0" w:space="0" w:color="auto" w:frame="1"/>
        </w:rPr>
        <w:t> </w:t>
      </w:r>
      <w:bookmarkStart w:id="3" w:name="Dieu_4"/>
      <w:bookmarkEnd w:id="3"/>
      <w:r w:rsidRPr="009545AF">
        <w:rPr>
          <w:rStyle w:val="Strong"/>
          <w:rFonts w:ascii="Times New Roman" w:hAnsi="Times New Roman"/>
          <w:color w:val="000000"/>
          <w:sz w:val="28"/>
          <w:szCs w:val="28"/>
          <w:bdr w:val="none" w:sz="0" w:space="0" w:color="auto" w:frame="1"/>
        </w:rPr>
        <w:t>4. Quản lý, sử dụng số tiền thu được từ việc sắp xếp nhà, đất tại các đơn vị thuộc Bộ Quốc phòng</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1. Toàn bộ số tiền thu được theo quy định tại Điều 3 Quyết định này được nộp vào tài khoản tạm giữ mở tại Kho bạc Nhà nước do Bộ Quốc phòng làm chủ tài khoản.</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2. Bộ Quốc phòng sử dụng số tiền thu được quy định tại Khoản 1 Điều này cho các nội dung sau:</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a) Chi trả các chi phí:</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 Liên quan đến xử lý nhà, đất, gồm:</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 Kiểm kê, đo vẽ nhà, đất;</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 Xác định giá, thẩm định giá và chi phí tổ chức bán đấu giá;</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 Tiêu hủy, gồm: Chi phí tháo dỡ, hủy bỏ, làm biến dạng tài sản;</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 Di dời, gồm: Chi phí tháo dỡ, vận chuyển, lắp đặt máy móc, thiết bị (nếu phải di chuyển); chi phí hỗ trợ để di dời các hộ dân đang ở tại vị trí cũ (nếu có).</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lastRenderedPageBreak/>
        <w:t>- Chi phí khác có liên quan.</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b) Số tiền còn lại sau khi đã chi trả cho các nội dung quy định tại Điểm a Khoản 2 Điều này được sử dụng cho các nhiệm vụ: Nâng cao tiềm lực quốc phòng; đầu tư phát triển công nghiệp quốc phòng; đầu tư xây dựng doanh trại, cơ sở sản xuất quốc phòng và các nhiệm vụ quốc phòng quan trọng, cấp bách theo các chương trình, dự án được cấp có thẩm quyền phê duyệt cho phép sử dụng tiền thu được từ sắp xếp nhà, đất tại các đơn vị thuộc Bộ Quốc phòng.</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3. Quy trình hạch toán, quản lý, sử dụng số tiền thu được</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a) Định kỳ hàng quý, Bộ Quốc phòng thông báo số thu, số chi, số dư trên tài khoản tạm giữ từ sắp xếp nhà, đất để Bộ Tài chính theo dõi, tổng hợp.</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b) Kết thúc mỗi năm tài chính, trước ngày 31 tháng 12, Bộ Quốc phòng tổng hợp tình hình thu, chi và việc sử dụng tiền trên tài khoản tạm giữ thực hiện nhiệm vụ chi ngân sách nhà nước trong lĩnh vực quốc phòng quy định tại Điểm b Khoản 2 Điều này gửi Bộ Tài chính để thực hiện hạch toán thu ngân sách nhà nước theo từng địa bàn phát sinh nguồn thu; hạch toán chi ngân sách qua ngân sách nhà nước đối với Bộ Quốc phòng theo quy định của pháp luật và quy định tại Quyết định này.</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c) Bộ trưởng Bộ Quốc phòng chịu trách nhiệm về việc quản lý, sử dụng số tiền thu được từ sắp xếp nhà, đất tại các đơn vị thuộc Bộ Quốc phòng theo quy định của pháp luật về ngân sách nhà nước.</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Strong"/>
          <w:rFonts w:ascii="Times New Roman" w:hAnsi="Times New Roman"/>
          <w:color w:val="000000"/>
          <w:sz w:val="28"/>
          <w:szCs w:val="28"/>
          <w:bdr w:val="none" w:sz="0" w:space="0" w:color="auto" w:frame="1"/>
        </w:rPr>
        <w:t>Điều</w:t>
      </w:r>
      <w:r w:rsidRPr="009545AF">
        <w:rPr>
          <w:rStyle w:val="apple-converted-space"/>
          <w:rFonts w:ascii="Times New Roman" w:hAnsi="Times New Roman"/>
          <w:b/>
          <w:bCs/>
          <w:color w:val="000000"/>
          <w:sz w:val="28"/>
          <w:szCs w:val="28"/>
          <w:bdr w:val="none" w:sz="0" w:space="0" w:color="auto" w:frame="1"/>
        </w:rPr>
        <w:t> </w:t>
      </w:r>
      <w:bookmarkStart w:id="4" w:name="Dieu_5"/>
      <w:bookmarkEnd w:id="4"/>
      <w:r w:rsidRPr="009545AF">
        <w:rPr>
          <w:rStyle w:val="Strong"/>
          <w:rFonts w:ascii="Times New Roman" w:hAnsi="Times New Roman"/>
          <w:color w:val="000000"/>
          <w:sz w:val="28"/>
          <w:szCs w:val="28"/>
          <w:bdr w:val="none" w:sz="0" w:space="0" w:color="auto" w:frame="1"/>
        </w:rPr>
        <w:t>5. Hiệu lực thi hành</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Quyết định này có hiệu lực thi hành kể từ ngày 26 tháng 01 năm 2015.</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Style w:val="Strong"/>
          <w:rFonts w:ascii="Times New Roman" w:hAnsi="Times New Roman"/>
          <w:color w:val="000000"/>
          <w:sz w:val="28"/>
          <w:szCs w:val="28"/>
          <w:bdr w:val="none" w:sz="0" w:space="0" w:color="auto" w:frame="1"/>
        </w:rPr>
        <w:t>Điều</w:t>
      </w:r>
      <w:r w:rsidRPr="009545AF">
        <w:rPr>
          <w:rStyle w:val="apple-converted-space"/>
          <w:rFonts w:ascii="Times New Roman" w:hAnsi="Times New Roman"/>
          <w:b/>
          <w:bCs/>
          <w:color w:val="000000"/>
          <w:sz w:val="28"/>
          <w:szCs w:val="28"/>
          <w:bdr w:val="none" w:sz="0" w:space="0" w:color="auto" w:frame="1"/>
        </w:rPr>
        <w:t> </w:t>
      </w:r>
      <w:bookmarkStart w:id="5" w:name="Dieu_6"/>
      <w:bookmarkEnd w:id="5"/>
      <w:r w:rsidRPr="009545AF">
        <w:rPr>
          <w:rStyle w:val="Strong"/>
          <w:rFonts w:ascii="Times New Roman" w:hAnsi="Times New Roman"/>
          <w:color w:val="000000"/>
          <w:sz w:val="28"/>
          <w:szCs w:val="28"/>
          <w:bdr w:val="none" w:sz="0" w:space="0" w:color="auto" w:frame="1"/>
        </w:rPr>
        <w:t>6. Trách nhiệm thi hành</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1. Bộ Tài chính chủ trì, phối hợp với Bộ Quốc phòng hướng dẫn thực hiện Quyết định này.</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lastRenderedPageBreak/>
        <w:t>2. Bộ trưởng các Bộ: Quốc phòng, Tài chính, Tài nguyên và Môi trường, Kế hoạch và Đầu tư, Hội đồng nhân dân, Chủ tịch Ủy ban nhân dân tỉnh, thành phố trực thuộc Trung ương và các cơ quan có liên quan chịu trách nhiệm thi hành Quyết định này./.</w:t>
      </w:r>
    </w:p>
    <w:p w:rsidR="009545AF" w:rsidRPr="009545AF" w:rsidRDefault="009545AF" w:rsidP="009545AF">
      <w:pPr>
        <w:pStyle w:val="NormalWeb"/>
        <w:shd w:val="clear" w:color="auto" w:fill="FFFFFF"/>
        <w:spacing w:before="120" w:beforeAutospacing="0" w:after="120" w:afterAutospacing="0" w:line="360" w:lineRule="auto"/>
        <w:textAlignment w:val="baseline"/>
        <w:rPr>
          <w:rFonts w:ascii="Times New Roman" w:hAnsi="Times New Roman"/>
          <w:color w:val="000000"/>
          <w:sz w:val="28"/>
          <w:szCs w:val="28"/>
        </w:rPr>
      </w:pPr>
      <w:r w:rsidRPr="009545AF">
        <w:rPr>
          <w:rFonts w:ascii="Times New Roman" w:hAnsi="Times New Roman"/>
          <w:color w:val="000000"/>
          <w:sz w:val="28"/>
          <w:szCs w:val="28"/>
        </w:rPr>
        <w:t> </w:t>
      </w:r>
    </w:p>
    <w:tbl>
      <w:tblPr>
        <w:tblW w:w="11700" w:type="dxa"/>
        <w:tblCellMar>
          <w:left w:w="0" w:type="dxa"/>
          <w:right w:w="0" w:type="dxa"/>
        </w:tblCellMar>
        <w:tblLook w:val="04A0" w:firstRow="1" w:lastRow="0" w:firstColumn="1" w:lastColumn="0" w:noHBand="0" w:noVBand="1"/>
      </w:tblPr>
      <w:tblGrid>
        <w:gridCol w:w="11625"/>
        <w:gridCol w:w="25"/>
        <w:gridCol w:w="25"/>
        <w:gridCol w:w="25"/>
      </w:tblGrid>
      <w:tr w:rsidR="009545AF" w:rsidRPr="009545AF" w:rsidTr="001235AD">
        <w:trPr>
          <w:gridAfter w:val="3"/>
        </w:trPr>
        <w:tc>
          <w:tcPr>
            <w:tcW w:w="11625" w:type="dxa"/>
            <w:tcBorders>
              <w:top w:val="nil"/>
              <w:left w:val="nil"/>
              <w:bottom w:val="nil"/>
              <w:right w:val="nil"/>
            </w:tcBorders>
            <w:tcMar>
              <w:top w:w="30" w:type="dxa"/>
              <w:left w:w="0" w:type="dxa"/>
              <w:bottom w:w="30" w:type="dxa"/>
              <w:right w:w="0" w:type="dxa"/>
            </w:tcMar>
            <w:vAlign w:val="bottom"/>
            <w:hideMark/>
          </w:tcPr>
          <w:p w:rsidR="009545AF" w:rsidRPr="009545AF" w:rsidRDefault="009545AF" w:rsidP="009545AF">
            <w:pPr>
              <w:spacing w:before="120" w:after="120" w:line="360" w:lineRule="auto"/>
              <w:rPr>
                <w:caps/>
                <w:color w:val="000000"/>
                <w:sz w:val="28"/>
                <w:szCs w:val="28"/>
              </w:rPr>
            </w:pPr>
          </w:p>
        </w:tc>
      </w:tr>
      <w:tr w:rsidR="009545AF" w:rsidRPr="009545AF" w:rsidTr="001235AD">
        <w:trPr>
          <w:gridAfter w:val="3"/>
        </w:trPr>
        <w:tc>
          <w:tcPr>
            <w:tcW w:w="11625" w:type="dxa"/>
            <w:tcBorders>
              <w:top w:val="nil"/>
              <w:left w:val="nil"/>
              <w:bottom w:val="nil"/>
              <w:right w:val="nil"/>
            </w:tcBorders>
            <w:tcMar>
              <w:top w:w="30" w:type="dxa"/>
              <w:left w:w="0" w:type="dxa"/>
              <w:bottom w:w="30" w:type="dxa"/>
              <w:right w:w="0" w:type="dxa"/>
            </w:tcMar>
            <w:vAlign w:val="bottom"/>
            <w:hideMark/>
          </w:tcPr>
          <w:p w:rsidR="009545AF" w:rsidRPr="009545AF" w:rsidRDefault="009545AF" w:rsidP="009545AF">
            <w:pPr>
              <w:pStyle w:val="NormalWeb"/>
              <w:spacing w:before="120" w:beforeAutospacing="0" w:after="120" w:afterAutospacing="0" w:line="360" w:lineRule="auto"/>
              <w:jc w:val="center"/>
              <w:textAlignment w:val="baseline"/>
              <w:rPr>
                <w:rFonts w:ascii="Times New Roman" w:hAnsi="Times New Roman"/>
                <w:caps/>
                <w:color w:val="000000"/>
                <w:sz w:val="28"/>
                <w:szCs w:val="28"/>
              </w:rPr>
            </w:pPr>
            <w:r w:rsidRPr="009545AF">
              <w:rPr>
                <w:rFonts w:ascii="Times New Roman" w:hAnsi="Times New Roman"/>
                <w:caps/>
                <w:color w:val="000000"/>
                <w:sz w:val="28"/>
                <w:szCs w:val="28"/>
              </w:rPr>
              <w:t>THỦ TƯỚNG</w:t>
            </w:r>
          </w:p>
        </w:tc>
      </w:tr>
      <w:tr w:rsidR="009545AF" w:rsidRPr="009545AF" w:rsidTr="001235AD">
        <w:trPr>
          <w:gridAfter w:val="3"/>
        </w:trPr>
        <w:tc>
          <w:tcPr>
            <w:tcW w:w="11625" w:type="dxa"/>
            <w:tcBorders>
              <w:top w:val="nil"/>
              <w:left w:val="nil"/>
              <w:bottom w:val="nil"/>
              <w:right w:val="nil"/>
            </w:tcBorders>
            <w:tcMar>
              <w:top w:w="30" w:type="dxa"/>
              <w:left w:w="0" w:type="dxa"/>
              <w:bottom w:w="30" w:type="dxa"/>
              <w:right w:w="0" w:type="dxa"/>
            </w:tcMar>
            <w:vAlign w:val="bottom"/>
            <w:hideMark/>
          </w:tcPr>
          <w:p w:rsidR="009545AF" w:rsidRPr="009545AF" w:rsidRDefault="009545AF" w:rsidP="009545AF">
            <w:pPr>
              <w:pStyle w:val="NormalWeb"/>
              <w:spacing w:before="120" w:beforeAutospacing="0" w:after="120" w:afterAutospacing="0" w:line="360" w:lineRule="auto"/>
              <w:jc w:val="center"/>
              <w:textAlignment w:val="baseline"/>
              <w:rPr>
                <w:rFonts w:ascii="Times New Roman" w:hAnsi="Times New Roman"/>
                <w:color w:val="000000"/>
                <w:sz w:val="28"/>
                <w:szCs w:val="28"/>
              </w:rPr>
            </w:pPr>
            <w:r w:rsidRPr="009545AF">
              <w:rPr>
                <w:rFonts w:ascii="Times New Roman" w:hAnsi="Times New Roman"/>
                <w:i/>
                <w:iCs/>
                <w:color w:val="000000"/>
                <w:sz w:val="28"/>
                <w:szCs w:val="28"/>
                <w:bdr w:val="none" w:sz="0" w:space="0" w:color="auto" w:frame="1"/>
              </w:rPr>
              <w:t>(Đã ký)</w:t>
            </w:r>
          </w:p>
        </w:tc>
      </w:tr>
      <w:tr w:rsidR="009545AF" w:rsidRPr="009545AF" w:rsidTr="001235AD">
        <w:tc>
          <w:tcPr>
            <w:tcW w:w="0" w:type="auto"/>
            <w:gridSpan w:val="4"/>
            <w:tcBorders>
              <w:top w:val="nil"/>
              <w:left w:val="nil"/>
              <w:bottom w:val="nil"/>
              <w:right w:val="nil"/>
            </w:tcBorders>
            <w:tcMar>
              <w:top w:w="30" w:type="dxa"/>
              <w:left w:w="0" w:type="dxa"/>
              <w:bottom w:w="30" w:type="dxa"/>
              <w:right w:w="0" w:type="dxa"/>
            </w:tcMar>
            <w:vAlign w:val="bottom"/>
            <w:hideMark/>
          </w:tcPr>
          <w:p w:rsidR="009545AF" w:rsidRPr="009545AF" w:rsidRDefault="009545AF" w:rsidP="009545AF">
            <w:pPr>
              <w:spacing w:before="120" w:after="120" w:line="360" w:lineRule="auto"/>
              <w:jc w:val="center"/>
              <w:rPr>
                <w:color w:val="000000"/>
                <w:sz w:val="28"/>
                <w:szCs w:val="28"/>
              </w:rPr>
            </w:pPr>
            <w:r w:rsidRPr="009545AF">
              <w:rPr>
                <w:color w:val="000000"/>
                <w:sz w:val="28"/>
                <w:szCs w:val="28"/>
              </w:rPr>
              <w:t> </w:t>
            </w:r>
          </w:p>
        </w:tc>
      </w:tr>
      <w:tr w:rsidR="009545AF" w:rsidRPr="009545AF" w:rsidTr="001235AD">
        <w:tc>
          <w:tcPr>
            <w:tcW w:w="11625" w:type="dxa"/>
            <w:tcBorders>
              <w:top w:val="nil"/>
              <w:left w:val="nil"/>
              <w:bottom w:val="nil"/>
              <w:right w:val="nil"/>
            </w:tcBorders>
            <w:tcMar>
              <w:top w:w="30" w:type="dxa"/>
              <w:left w:w="0" w:type="dxa"/>
              <w:bottom w:w="30" w:type="dxa"/>
              <w:right w:w="0" w:type="dxa"/>
            </w:tcMar>
            <w:vAlign w:val="bottom"/>
            <w:hideMark/>
          </w:tcPr>
          <w:p w:rsidR="009545AF" w:rsidRPr="009545AF" w:rsidRDefault="009545AF" w:rsidP="009545AF">
            <w:pPr>
              <w:pStyle w:val="NormalWeb"/>
              <w:spacing w:before="120" w:beforeAutospacing="0" w:after="120" w:afterAutospacing="0" w:line="360" w:lineRule="auto"/>
              <w:jc w:val="center"/>
              <w:textAlignment w:val="baseline"/>
              <w:rPr>
                <w:rFonts w:ascii="Times New Roman" w:hAnsi="Times New Roman"/>
                <w:color w:val="000000"/>
                <w:sz w:val="28"/>
                <w:szCs w:val="28"/>
              </w:rPr>
            </w:pPr>
            <w:r w:rsidRPr="009545AF">
              <w:rPr>
                <w:rFonts w:ascii="Times New Roman" w:hAnsi="Times New Roman"/>
                <w:color w:val="000000"/>
                <w:sz w:val="28"/>
                <w:szCs w:val="28"/>
              </w:rPr>
              <w:t>Nguyễn Tấn Dũng</w:t>
            </w:r>
          </w:p>
        </w:tc>
        <w:tc>
          <w:tcPr>
            <w:tcW w:w="0" w:type="auto"/>
            <w:vAlign w:val="bottom"/>
            <w:hideMark/>
          </w:tcPr>
          <w:p w:rsidR="009545AF" w:rsidRPr="009545AF" w:rsidRDefault="009545AF" w:rsidP="009545AF">
            <w:pPr>
              <w:spacing w:before="120" w:after="120" w:line="360" w:lineRule="auto"/>
              <w:rPr>
                <w:sz w:val="28"/>
                <w:szCs w:val="28"/>
              </w:rPr>
            </w:pPr>
          </w:p>
        </w:tc>
        <w:tc>
          <w:tcPr>
            <w:tcW w:w="0" w:type="auto"/>
            <w:vAlign w:val="bottom"/>
            <w:hideMark/>
          </w:tcPr>
          <w:p w:rsidR="009545AF" w:rsidRPr="009545AF" w:rsidRDefault="009545AF" w:rsidP="009545AF">
            <w:pPr>
              <w:spacing w:before="120" w:after="120" w:line="360" w:lineRule="auto"/>
              <w:rPr>
                <w:sz w:val="28"/>
                <w:szCs w:val="28"/>
              </w:rPr>
            </w:pPr>
          </w:p>
        </w:tc>
        <w:tc>
          <w:tcPr>
            <w:tcW w:w="0" w:type="auto"/>
            <w:vAlign w:val="bottom"/>
            <w:hideMark/>
          </w:tcPr>
          <w:p w:rsidR="009545AF" w:rsidRPr="009545AF" w:rsidRDefault="009545AF" w:rsidP="009545AF">
            <w:pPr>
              <w:spacing w:before="120" w:after="120" w:line="360" w:lineRule="auto"/>
              <w:rPr>
                <w:sz w:val="28"/>
                <w:szCs w:val="28"/>
              </w:rPr>
            </w:pPr>
          </w:p>
        </w:tc>
      </w:tr>
    </w:tbl>
    <w:p w:rsidR="009545AF" w:rsidRPr="009545AF" w:rsidRDefault="009545AF" w:rsidP="009545AF">
      <w:pPr>
        <w:spacing w:before="120" w:after="120" w:line="360" w:lineRule="auto"/>
        <w:rPr>
          <w:sz w:val="28"/>
          <w:szCs w:val="28"/>
        </w:rPr>
      </w:pPr>
    </w:p>
    <w:p w:rsidR="003C3FB5" w:rsidRPr="009545AF" w:rsidRDefault="003C3FB5" w:rsidP="009545AF">
      <w:pPr>
        <w:spacing w:before="120" w:after="120" w:line="360" w:lineRule="auto"/>
        <w:rPr>
          <w:sz w:val="28"/>
          <w:szCs w:val="28"/>
        </w:rPr>
      </w:pPr>
    </w:p>
    <w:sectPr w:rsidR="003C3FB5" w:rsidRPr="009545AF" w:rsidSect="00D9152F">
      <w:headerReference w:type="even" r:id="rId8"/>
      <w:headerReference w:type="default" r:id="rId9"/>
      <w:footerReference w:type="even" r:id="rId10"/>
      <w:footerReference w:type="default" r:id="rId11"/>
      <w:headerReference w:type="first" r:id="rId12"/>
      <w:footerReference w:type="first" r:id="rId13"/>
      <w:pgSz w:w="11907" w:h="16840" w:code="9"/>
      <w:pgMar w:top="1620" w:right="510" w:bottom="1170" w:left="1304"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CDE" w:rsidRDefault="00B94CDE" w:rsidP="00D9152F">
      <w:r>
        <w:separator/>
      </w:r>
    </w:p>
  </w:endnote>
  <w:endnote w:type="continuationSeparator" w:id="0">
    <w:p w:rsidR="00B94CDE" w:rsidRDefault="00B94CDE" w:rsidP="00D9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26" w:rsidRDefault="001356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66" w:rsidRPr="00A67571" w:rsidRDefault="00667F66" w:rsidP="00667F66">
    <w:pPr>
      <w:pStyle w:val="Footer"/>
    </w:pPr>
    <w:r w:rsidRPr="00A67571">
      <w:rPr>
        <w:b/>
        <w:color w:val="FF0000"/>
      </w:rPr>
      <w:t>TỔNG ĐÀI TƯ VẤN PHÁP LUẬT TRỰC TUYẾN 24/7: 1900.6190 – 1900.6212</w:t>
    </w:r>
  </w:p>
  <w:p w:rsidR="00667F66" w:rsidRPr="00A67571" w:rsidRDefault="00667F66" w:rsidP="00667F66">
    <w:pPr>
      <w:pStyle w:val="Footer"/>
    </w:pPr>
  </w:p>
  <w:p w:rsidR="00D9152F" w:rsidRPr="00667F66" w:rsidRDefault="00D9152F" w:rsidP="00667F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26" w:rsidRDefault="001356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CDE" w:rsidRDefault="00B94CDE" w:rsidP="00D9152F">
      <w:r>
        <w:separator/>
      </w:r>
    </w:p>
  </w:footnote>
  <w:footnote w:type="continuationSeparator" w:id="0">
    <w:p w:rsidR="00B94CDE" w:rsidRDefault="00B94CDE" w:rsidP="00D915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26" w:rsidRDefault="001356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667F66" w:rsidRPr="00A67571" w:rsidTr="001235AD">
      <w:trPr>
        <w:trHeight w:val="1208"/>
      </w:trPr>
      <w:tc>
        <w:tcPr>
          <w:tcW w:w="2411" w:type="dxa"/>
          <w:tcBorders>
            <w:top w:val="nil"/>
            <w:left w:val="nil"/>
            <w:bottom w:val="single" w:sz="4" w:space="0" w:color="auto"/>
            <w:right w:val="nil"/>
          </w:tcBorders>
          <w:vAlign w:val="center"/>
          <w:hideMark/>
        </w:tcPr>
        <w:p w:rsidR="00667F66" w:rsidRPr="00A67571" w:rsidRDefault="00667F66" w:rsidP="001235AD">
          <w:pPr>
            <w:rPr>
              <w:b/>
              <w:sz w:val="20"/>
            </w:rPr>
          </w:pPr>
          <w:r w:rsidRPr="00A67571">
            <w:rPr>
              <w:b/>
              <w:sz w:val="20"/>
            </w:rPr>
            <w:t xml:space="preserve">        </w:t>
          </w:r>
          <w:r>
            <w:rPr>
              <w:b/>
              <w:noProof/>
              <w:sz w:val="20"/>
            </w:rPr>
            <w:drawing>
              <wp:inline distT="0" distB="0" distL="0" distR="0">
                <wp:extent cx="1428750" cy="866775"/>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135626" w:rsidRDefault="00135626" w:rsidP="00135626">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135626" w:rsidRDefault="00135626" w:rsidP="00135626">
          <w:pPr>
            <w:rPr>
              <w:sz w:val="20"/>
              <w:lang w:val="vi-VN"/>
            </w:rPr>
          </w:pPr>
          <w:r>
            <w:rPr>
              <w:sz w:val="20"/>
            </w:rPr>
            <w:t>89 Tô Vĩnh Diện, phường Khương Trung, quận Thanh Xuân, Hà Nội</w:t>
          </w:r>
        </w:p>
        <w:p w:rsidR="00135626" w:rsidRDefault="00135626" w:rsidP="00135626">
          <w:pPr>
            <w:rPr>
              <w:sz w:val="20"/>
            </w:rPr>
          </w:pPr>
          <w:r>
            <w:rPr>
              <w:sz w:val="20"/>
            </w:rPr>
            <w:t>Tel:   1900.6568                             Fax: 024.73.000.111</w:t>
          </w:r>
        </w:p>
        <w:p w:rsidR="00667F66" w:rsidRPr="00A67571" w:rsidRDefault="00135626" w:rsidP="00135626">
          <w:pPr>
            <w:rPr>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6" w:name="_GoBack"/>
          <w:bookmarkEnd w:id="6"/>
        </w:p>
      </w:tc>
    </w:tr>
  </w:tbl>
  <w:p w:rsidR="002F4299" w:rsidRPr="00667F66" w:rsidRDefault="00B94CDE" w:rsidP="00667F6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26" w:rsidRDefault="001356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19E"/>
    <w:multiLevelType w:val="multilevel"/>
    <w:tmpl w:val="AB7663E8"/>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1210E3"/>
    <w:multiLevelType w:val="multilevel"/>
    <w:tmpl w:val="A1F00802"/>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0E57BE"/>
    <w:multiLevelType w:val="multilevel"/>
    <w:tmpl w:val="835CE850"/>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897CC2"/>
    <w:multiLevelType w:val="multilevel"/>
    <w:tmpl w:val="8780DCE4"/>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9612DB9"/>
    <w:multiLevelType w:val="multilevel"/>
    <w:tmpl w:val="8780DCE4"/>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332DA3"/>
    <w:multiLevelType w:val="hybridMultilevel"/>
    <w:tmpl w:val="CF9C4104"/>
    <w:lvl w:ilvl="0" w:tplc="97C4CF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77D1FD3"/>
    <w:multiLevelType w:val="multilevel"/>
    <w:tmpl w:val="A1F00802"/>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CA44FF4"/>
    <w:multiLevelType w:val="multilevel"/>
    <w:tmpl w:val="E2624B00"/>
    <w:lvl w:ilvl="0">
      <w:start w:val="1"/>
      <w:numFmt w:val="decimal"/>
      <w:lvlText w:val="Điều %1. "/>
      <w:lvlJc w:val="righ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ED55160"/>
    <w:multiLevelType w:val="multilevel"/>
    <w:tmpl w:val="B8B0D508"/>
    <w:lvl w:ilvl="0">
      <w:start w:val="1"/>
      <w:numFmt w:val="decimal"/>
      <w:lvlText w:val="Điều %1. "/>
      <w:lvlJc w:val="center"/>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09879B1"/>
    <w:multiLevelType w:val="multilevel"/>
    <w:tmpl w:val="BF328F02"/>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73F0D73"/>
    <w:multiLevelType w:val="multilevel"/>
    <w:tmpl w:val="835CE850"/>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 w:numId="8">
    <w:abstractNumId w:val="8"/>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2F"/>
    <w:rsid w:val="00004E86"/>
    <w:rsid w:val="00135626"/>
    <w:rsid w:val="00173992"/>
    <w:rsid w:val="001B5441"/>
    <w:rsid w:val="00204E8C"/>
    <w:rsid w:val="00243C55"/>
    <w:rsid w:val="002720B6"/>
    <w:rsid w:val="002C23E5"/>
    <w:rsid w:val="00315ABB"/>
    <w:rsid w:val="003423FB"/>
    <w:rsid w:val="0034766C"/>
    <w:rsid w:val="00355F35"/>
    <w:rsid w:val="003C3FB5"/>
    <w:rsid w:val="00411A50"/>
    <w:rsid w:val="004D0C9E"/>
    <w:rsid w:val="005018E4"/>
    <w:rsid w:val="00535951"/>
    <w:rsid w:val="005531CD"/>
    <w:rsid w:val="00571B54"/>
    <w:rsid w:val="005D507F"/>
    <w:rsid w:val="0062074F"/>
    <w:rsid w:val="00667F66"/>
    <w:rsid w:val="00671A17"/>
    <w:rsid w:val="00686662"/>
    <w:rsid w:val="006D66BF"/>
    <w:rsid w:val="006F55B5"/>
    <w:rsid w:val="00705FA7"/>
    <w:rsid w:val="00715417"/>
    <w:rsid w:val="00726572"/>
    <w:rsid w:val="0073387E"/>
    <w:rsid w:val="00747965"/>
    <w:rsid w:val="00757273"/>
    <w:rsid w:val="007D6C38"/>
    <w:rsid w:val="007E1005"/>
    <w:rsid w:val="00817063"/>
    <w:rsid w:val="00841AFD"/>
    <w:rsid w:val="008D06F6"/>
    <w:rsid w:val="00912BDF"/>
    <w:rsid w:val="00916C35"/>
    <w:rsid w:val="0093601B"/>
    <w:rsid w:val="009545AF"/>
    <w:rsid w:val="00993721"/>
    <w:rsid w:val="00A47944"/>
    <w:rsid w:val="00AB7845"/>
    <w:rsid w:val="00B12B59"/>
    <w:rsid w:val="00B244DE"/>
    <w:rsid w:val="00B5216B"/>
    <w:rsid w:val="00B94CDE"/>
    <w:rsid w:val="00C26225"/>
    <w:rsid w:val="00C36E7C"/>
    <w:rsid w:val="00C84163"/>
    <w:rsid w:val="00C9444D"/>
    <w:rsid w:val="00C965BB"/>
    <w:rsid w:val="00CC2416"/>
    <w:rsid w:val="00CE0854"/>
    <w:rsid w:val="00D34F96"/>
    <w:rsid w:val="00D9152F"/>
    <w:rsid w:val="00E06E5D"/>
    <w:rsid w:val="00F03E50"/>
    <w:rsid w:val="00F03F8E"/>
    <w:rsid w:val="00F10FBE"/>
    <w:rsid w:val="00F21C6F"/>
    <w:rsid w:val="00F55338"/>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01473-AA00-4C4E-97F7-291D5C83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link w:val="Heading1Char"/>
    <w:qFormat/>
    <w:rsid w:val="0068666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686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686662"/>
    <w:pPr>
      <w:spacing w:before="100" w:beforeAutospacing="1" w:after="100" w:afterAutospacing="1"/>
      <w:outlineLvl w:val="2"/>
    </w:pPr>
    <w:rPr>
      <w:b/>
      <w:bCs/>
      <w:sz w:val="27"/>
      <w:szCs w:val="27"/>
    </w:rPr>
  </w:style>
  <w:style w:type="paragraph" w:styleId="Heading4">
    <w:name w:val="heading 4"/>
    <w:basedOn w:val="Normal"/>
    <w:link w:val="Heading4Char"/>
    <w:qFormat/>
    <w:rsid w:val="00686662"/>
    <w:pPr>
      <w:spacing w:before="100" w:beforeAutospacing="1" w:after="100" w:afterAutospacing="1"/>
      <w:outlineLvl w:val="3"/>
    </w:pPr>
    <w:rPr>
      <w:b/>
      <w:bCs/>
    </w:rPr>
  </w:style>
  <w:style w:type="paragraph" w:styleId="Heading5">
    <w:name w:val="heading 5"/>
    <w:basedOn w:val="Normal"/>
    <w:link w:val="Heading5Char"/>
    <w:qFormat/>
    <w:rsid w:val="00686662"/>
    <w:pPr>
      <w:spacing w:before="100" w:beforeAutospacing="1" w:after="100" w:afterAutospacing="1"/>
      <w:outlineLvl w:val="4"/>
    </w:pPr>
    <w:rPr>
      <w:b/>
      <w:bCs/>
      <w:sz w:val="20"/>
      <w:szCs w:val="20"/>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uiPriority w:val="99"/>
    <w:rsid w:val="00D9152F"/>
    <w:pPr>
      <w:tabs>
        <w:tab w:val="center" w:pos="4320"/>
        <w:tab w:val="right" w:pos="8640"/>
      </w:tabs>
    </w:pPr>
  </w:style>
  <w:style w:type="character" w:customStyle="1" w:styleId="FooterChar">
    <w:name w:val="Footer Char"/>
    <w:basedOn w:val="DefaultParagraphFont"/>
    <w:link w:val="Footer"/>
    <w:uiPriority w:val="99"/>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apple-converted-space">
    <w:name w:val="apple-converted-space"/>
    <w:basedOn w:val="DefaultParagraphFont"/>
    <w:rsid w:val="00993721"/>
  </w:style>
  <w:style w:type="character" w:customStyle="1" w:styleId="Heading2Char">
    <w:name w:val="Heading 2 Char"/>
    <w:basedOn w:val="DefaultParagraphFont"/>
    <w:link w:val="Heading2"/>
    <w:rsid w:val="0068666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86662"/>
    <w:rPr>
      <w:rFonts w:eastAsia="Times New Roman" w:cs="Times New Roman"/>
      <w:b/>
      <w:bCs/>
      <w:kern w:val="36"/>
      <w:sz w:val="48"/>
      <w:szCs w:val="48"/>
    </w:rPr>
  </w:style>
  <w:style w:type="character" w:customStyle="1" w:styleId="Heading3Char">
    <w:name w:val="Heading 3 Char"/>
    <w:basedOn w:val="DefaultParagraphFont"/>
    <w:link w:val="Heading3"/>
    <w:rsid w:val="00686662"/>
    <w:rPr>
      <w:rFonts w:eastAsia="Times New Roman" w:cs="Times New Roman"/>
      <w:b/>
      <w:bCs/>
      <w:sz w:val="27"/>
      <w:szCs w:val="27"/>
    </w:rPr>
  </w:style>
  <w:style w:type="character" w:customStyle="1" w:styleId="Heading4Char">
    <w:name w:val="Heading 4 Char"/>
    <w:basedOn w:val="DefaultParagraphFont"/>
    <w:link w:val="Heading4"/>
    <w:rsid w:val="00686662"/>
    <w:rPr>
      <w:rFonts w:eastAsia="Times New Roman" w:cs="Times New Roman"/>
      <w:b/>
      <w:bCs/>
      <w:sz w:val="24"/>
      <w:szCs w:val="24"/>
    </w:rPr>
  </w:style>
  <w:style w:type="character" w:customStyle="1" w:styleId="Heading5Char">
    <w:name w:val="Heading 5 Char"/>
    <w:basedOn w:val="DefaultParagraphFont"/>
    <w:link w:val="Heading5"/>
    <w:rsid w:val="00686662"/>
    <w:rPr>
      <w:rFonts w:eastAsia="Times New Roman" w:cs="Times New Roman"/>
      <w:b/>
      <w:bCs/>
      <w:sz w:val="20"/>
      <w:szCs w:val="20"/>
    </w:rPr>
  </w:style>
  <w:style w:type="paragraph" w:customStyle="1" w:styleId="CharCharCharChar">
    <w:name w:val="Char Char Char Char"/>
    <w:basedOn w:val="Normal"/>
    <w:semiHidden/>
    <w:rsid w:val="00686662"/>
    <w:pPr>
      <w:spacing w:after="160" w:line="240" w:lineRule="exact"/>
    </w:pPr>
    <w:rPr>
      <w:rFonts w:ascii="Arial" w:hAnsi="Arial"/>
      <w:sz w:val="22"/>
      <w:szCs w:val="22"/>
    </w:rPr>
  </w:style>
  <w:style w:type="paragraph" w:styleId="BodyText3">
    <w:name w:val="Body Text 3"/>
    <w:basedOn w:val="Normal"/>
    <w:link w:val="BodyText3Char"/>
    <w:rsid w:val="00686662"/>
    <w:pPr>
      <w:spacing w:before="100" w:beforeAutospacing="1" w:after="100" w:afterAutospacing="1"/>
    </w:pPr>
  </w:style>
  <w:style w:type="character" w:customStyle="1" w:styleId="BodyText3Char">
    <w:name w:val="Body Text 3 Char"/>
    <w:basedOn w:val="DefaultParagraphFont"/>
    <w:link w:val="BodyText3"/>
    <w:rsid w:val="00686662"/>
    <w:rPr>
      <w:rFonts w:eastAsia="Times New Roman" w:cs="Times New Roman"/>
      <w:sz w:val="24"/>
      <w:szCs w:val="24"/>
    </w:rPr>
  </w:style>
  <w:style w:type="character" w:styleId="PageNumber">
    <w:name w:val="page number"/>
    <w:basedOn w:val="DefaultParagraphFont"/>
    <w:rsid w:val="00686662"/>
  </w:style>
  <w:style w:type="table" w:styleId="TableGrid">
    <w:name w:val="Table Grid"/>
    <w:basedOn w:val="TableNormal"/>
    <w:rsid w:val="0068666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686662"/>
    <w:pPr>
      <w:spacing w:before="120" w:line="340" w:lineRule="exact"/>
      <w:jc w:val="both"/>
    </w:pPr>
    <w:rPr>
      <w:rFonts w:ascii=".VnTime" w:hAnsi=".VnTime"/>
      <w:sz w:val="26"/>
      <w:szCs w:val="20"/>
    </w:rPr>
  </w:style>
  <w:style w:type="character" w:customStyle="1" w:styleId="EndnoteTextChar">
    <w:name w:val="Endnote Text Char"/>
    <w:basedOn w:val="DefaultParagraphFont"/>
    <w:link w:val="EndnoteText"/>
    <w:semiHidden/>
    <w:rsid w:val="00686662"/>
    <w:rPr>
      <w:rFonts w:ascii=".VnTime" w:eastAsia="Times New Roman" w:hAnsi=".VnTime" w:cs="Times New Roman"/>
      <w:sz w:val="26"/>
      <w:szCs w:val="20"/>
    </w:rPr>
  </w:style>
  <w:style w:type="paragraph" w:customStyle="1" w:styleId="dieu">
    <w:name w:val="dieu"/>
    <w:basedOn w:val="Normal"/>
    <w:link w:val="dieuChar"/>
    <w:rsid w:val="00686662"/>
    <w:pPr>
      <w:spacing w:after="120"/>
      <w:ind w:firstLine="720"/>
    </w:pPr>
    <w:rPr>
      <w:b/>
      <w:color w:val="0000FF"/>
      <w:sz w:val="26"/>
      <w:szCs w:val="20"/>
    </w:rPr>
  </w:style>
  <w:style w:type="character" w:customStyle="1" w:styleId="dieuChar">
    <w:name w:val="dieu Char"/>
    <w:basedOn w:val="DefaultParagraphFont"/>
    <w:link w:val="dieu"/>
    <w:rsid w:val="00686662"/>
    <w:rPr>
      <w:rFonts w:eastAsia="Times New Roman" w:cs="Times New Roman"/>
      <w:b/>
      <w:color w:val="0000FF"/>
      <w:sz w:val="26"/>
      <w:szCs w:val="20"/>
    </w:rPr>
  </w:style>
  <w:style w:type="paragraph" w:styleId="TOC2">
    <w:name w:val="toc 2"/>
    <w:basedOn w:val="Normal"/>
    <w:next w:val="Normal"/>
    <w:autoRedefine/>
    <w:semiHidden/>
    <w:rsid w:val="00686662"/>
    <w:pPr>
      <w:ind w:left="240"/>
    </w:pPr>
  </w:style>
  <w:style w:type="paragraph" w:styleId="TOC1">
    <w:name w:val="toc 1"/>
    <w:basedOn w:val="Normal"/>
    <w:next w:val="Normal"/>
    <w:autoRedefine/>
    <w:semiHidden/>
    <w:rsid w:val="00686662"/>
    <w:pPr>
      <w:tabs>
        <w:tab w:val="right" w:leader="dot" w:pos="9062"/>
      </w:tabs>
      <w:spacing w:before="40"/>
    </w:pPr>
    <w:rPr>
      <w:bCs/>
      <w:noProof/>
      <w:spacing w:val="-14"/>
      <w:sz w:val="25"/>
      <w:szCs w:val="25"/>
      <w:lang w:val="vi-VN"/>
    </w:rPr>
  </w:style>
  <w:style w:type="paragraph" w:styleId="TOC3">
    <w:name w:val="toc 3"/>
    <w:basedOn w:val="Normal"/>
    <w:next w:val="Normal"/>
    <w:autoRedefine/>
    <w:semiHidden/>
    <w:rsid w:val="00686662"/>
    <w:pPr>
      <w:ind w:left="480"/>
    </w:pPr>
  </w:style>
  <w:style w:type="paragraph" w:customStyle="1" w:styleId="nd">
    <w:name w:val="nd"/>
    <w:basedOn w:val="Normal"/>
    <w:semiHidden/>
    <w:rsid w:val="00686662"/>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6">
    <w:name w:val="6"/>
    <w:basedOn w:val="Normal"/>
    <w:rsid w:val="00686662"/>
    <w:pPr>
      <w:overflowPunct w:val="0"/>
      <w:autoSpaceDE w:val="0"/>
      <w:autoSpaceDN w:val="0"/>
      <w:adjustRightInd w:val="0"/>
      <w:spacing w:before="120" w:after="120"/>
      <w:ind w:firstLine="567"/>
      <w:jc w:val="both"/>
      <w:textAlignment w:val="baseline"/>
    </w:pPr>
    <w:rPr>
      <w:b/>
      <w:bCs/>
      <w:sz w:val="28"/>
      <w:szCs w:val="28"/>
      <w:lang w:val="nl-NL"/>
    </w:rPr>
  </w:style>
  <w:style w:type="paragraph" w:styleId="TOC4">
    <w:name w:val="toc 4"/>
    <w:basedOn w:val="Normal"/>
    <w:next w:val="Normal"/>
    <w:autoRedefine/>
    <w:semiHidden/>
    <w:rsid w:val="00686662"/>
    <w:pPr>
      <w:ind w:left="720"/>
    </w:pPr>
  </w:style>
  <w:style w:type="character" w:customStyle="1" w:styleId="normal-h1">
    <w:name w:val="normal-h1"/>
    <w:basedOn w:val="DefaultParagraphFont"/>
    <w:rsid w:val="00686662"/>
    <w:rPr>
      <w:rFonts w:ascii="Times New Roman" w:hAnsi="Times New Roman" w:cs="Times New Roman" w:hint="default"/>
      <w:color w:val="0000FF"/>
      <w:sz w:val="24"/>
      <w:szCs w:val="24"/>
    </w:rPr>
  </w:style>
  <w:style w:type="paragraph" w:customStyle="1" w:styleId="normal-p">
    <w:name w:val="normal-p"/>
    <w:basedOn w:val="Normal"/>
    <w:rsid w:val="00686662"/>
    <w:pPr>
      <w:jc w:val="both"/>
    </w:pPr>
    <w:rPr>
      <w:sz w:val="20"/>
      <w:szCs w:val="20"/>
    </w:rPr>
  </w:style>
  <w:style w:type="paragraph" w:customStyle="1" w:styleId="Char1">
    <w:name w:val="Char1"/>
    <w:basedOn w:val="Normal"/>
    <w:rsid w:val="00686662"/>
    <w:pPr>
      <w:pageBreakBefore/>
      <w:spacing w:before="100" w:beforeAutospacing="1" w:after="100" w:afterAutospacing="1"/>
      <w:jc w:val="both"/>
    </w:pPr>
    <w:rPr>
      <w:rFonts w:ascii="Tahoma" w:hAnsi="Tahoma"/>
      <w:sz w:val="20"/>
      <w:szCs w:val="20"/>
    </w:rPr>
  </w:style>
  <w:style w:type="paragraph" w:customStyle="1" w:styleId="CharCharCharCharCharChar">
    <w:name w:val="Char Char Char Char Char Char"/>
    <w:basedOn w:val="Normal"/>
    <w:next w:val="Normal"/>
    <w:autoRedefine/>
    <w:semiHidden/>
    <w:rsid w:val="00686662"/>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6826">
      <w:bodyDiv w:val="1"/>
      <w:marLeft w:val="0"/>
      <w:marRight w:val="0"/>
      <w:marTop w:val="0"/>
      <w:marBottom w:val="0"/>
      <w:divBdr>
        <w:top w:val="none" w:sz="0" w:space="0" w:color="auto"/>
        <w:left w:val="none" w:sz="0" w:space="0" w:color="auto"/>
        <w:bottom w:val="none" w:sz="0" w:space="0" w:color="auto"/>
        <w:right w:val="none" w:sz="0" w:space="0" w:color="auto"/>
      </w:divBdr>
      <w:divsChild>
        <w:div w:id="1610576846">
          <w:marLeft w:val="0"/>
          <w:marRight w:val="0"/>
          <w:marTop w:val="0"/>
          <w:marBottom w:val="0"/>
          <w:divBdr>
            <w:top w:val="none" w:sz="0" w:space="0" w:color="auto"/>
            <w:left w:val="none" w:sz="0" w:space="0" w:color="auto"/>
            <w:bottom w:val="none" w:sz="0" w:space="0" w:color="auto"/>
            <w:right w:val="none" w:sz="0" w:space="0" w:color="auto"/>
          </w:divBdr>
        </w:div>
        <w:div w:id="1622685002">
          <w:marLeft w:val="0"/>
          <w:marRight w:val="0"/>
          <w:marTop w:val="0"/>
          <w:marBottom w:val="0"/>
          <w:divBdr>
            <w:top w:val="none" w:sz="0" w:space="0" w:color="auto"/>
            <w:left w:val="none" w:sz="0" w:space="0" w:color="auto"/>
            <w:bottom w:val="none" w:sz="0" w:space="0" w:color="auto"/>
            <w:right w:val="none" w:sz="0" w:space="0" w:color="auto"/>
          </w:divBdr>
        </w:div>
        <w:div w:id="1899172041">
          <w:marLeft w:val="0"/>
          <w:marRight w:val="0"/>
          <w:marTop w:val="0"/>
          <w:marBottom w:val="0"/>
          <w:divBdr>
            <w:top w:val="none" w:sz="0" w:space="0" w:color="auto"/>
            <w:left w:val="none" w:sz="0" w:space="0" w:color="auto"/>
            <w:bottom w:val="none" w:sz="0" w:space="0" w:color="auto"/>
            <w:right w:val="none" w:sz="0" w:space="0" w:color="auto"/>
          </w:divBdr>
        </w:div>
        <w:div w:id="1043674655">
          <w:marLeft w:val="0"/>
          <w:marRight w:val="0"/>
          <w:marTop w:val="0"/>
          <w:marBottom w:val="0"/>
          <w:divBdr>
            <w:top w:val="none" w:sz="0" w:space="0" w:color="auto"/>
            <w:left w:val="none" w:sz="0" w:space="0" w:color="auto"/>
            <w:bottom w:val="none" w:sz="0" w:space="0" w:color="auto"/>
            <w:right w:val="none" w:sz="0" w:space="0" w:color="auto"/>
          </w:divBdr>
          <w:divsChild>
            <w:div w:id="18408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9691">
      <w:bodyDiv w:val="1"/>
      <w:marLeft w:val="0"/>
      <w:marRight w:val="0"/>
      <w:marTop w:val="0"/>
      <w:marBottom w:val="0"/>
      <w:divBdr>
        <w:top w:val="none" w:sz="0" w:space="0" w:color="auto"/>
        <w:left w:val="none" w:sz="0" w:space="0" w:color="auto"/>
        <w:bottom w:val="none" w:sz="0" w:space="0" w:color="auto"/>
        <w:right w:val="none" w:sz="0" w:space="0" w:color="auto"/>
      </w:divBdr>
    </w:div>
    <w:div w:id="487089940">
      <w:bodyDiv w:val="1"/>
      <w:marLeft w:val="0"/>
      <w:marRight w:val="0"/>
      <w:marTop w:val="0"/>
      <w:marBottom w:val="0"/>
      <w:divBdr>
        <w:top w:val="none" w:sz="0" w:space="0" w:color="auto"/>
        <w:left w:val="none" w:sz="0" w:space="0" w:color="auto"/>
        <w:bottom w:val="none" w:sz="0" w:space="0" w:color="auto"/>
        <w:right w:val="none" w:sz="0" w:space="0" w:color="auto"/>
      </w:divBdr>
    </w:div>
    <w:div w:id="742990367">
      <w:bodyDiv w:val="1"/>
      <w:marLeft w:val="0"/>
      <w:marRight w:val="0"/>
      <w:marTop w:val="0"/>
      <w:marBottom w:val="0"/>
      <w:divBdr>
        <w:top w:val="none" w:sz="0" w:space="0" w:color="auto"/>
        <w:left w:val="none" w:sz="0" w:space="0" w:color="auto"/>
        <w:bottom w:val="none" w:sz="0" w:space="0" w:color="auto"/>
        <w:right w:val="none" w:sz="0" w:space="0" w:color="auto"/>
      </w:divBdr>
      <w:divsChild>
        <w:div w:id="1378704594">
          <w:marLeft w:val="0"/>
          <w:marRight w:val="0"/>
          <w:marTop w:val="0"/>
          <w:marBottom w:val="0"/>
          <w:divBdr>
            <w:top w:val="none" w:sz="0" w:space="0" w:color="auto"/>
            <w:left w:val="none" w:sz="0" w:space="0" w:color="auto"/>
            <w:bottom w:val="none" w:sz="0" w:space="0" w:color="auto"/>
            <w:right w:val="none" w:sz="0" w:space="0" w:color="auto"/>
          </w:divBdr>
        </w:div>
        <w:div w:id="81687708">
          <w:marLeft w:val="0"/>
          <w:marRight w:val="0"/>
          <w:marTop w:val="0"/>
          <w:marBottom w:val="0"/>
          <w:divBdr>
            <w:top w:val="none" w:sz="0" w:space="0" w:color="auto"/>
            <w:left w:val="none" w:sz="0" w:space="0" w:color="auto"/>
            <w:bottom w:val="none" w:sz="0" w:space="0" w:color="auto"/>
            <w:right w:val="none" w:sz="0" w:space="0" w:color="auto"/>
          </w:divBdr>
        </w:div>
        <w:div w:id="917590113">
          <w:marLeft w:val="0"/>
          <w:marRight w:val="0"/>
          <w:marTop w:val="0"/>
          <w:marBottom w:val="0"/>
          <w:divBdr>
            <w:top w:val="none" w:sz="0" w:space="0" w:color="auto"/>
            <w:left w:val="none" w:sz="0" w:space="0" w:color="auto"/>
            <w:bottom w:val="none" w:sz="0" w:space="0" w:color="auto"/>
            <w:right w:val="none" w:sz="0" w:space="0" w:color="auto"/>
          </w:divBdr>
        </w:div>
        <w:div w:id="848983609">
          <w:marLeft w:val="0"/>
          <w:marRight w:val="0"/>
          <w:marTop w:val="0"/>
          <w:marBottom w:val="0"/>
          <w:divBdr>
            <w:top w:val="none" w:sz="0" w:space="0" w:color="auto"/>
            <w:left w:val="none" w:sz="0" w:space="0" w:color="auto"/>
            <w:bottom w:val="none" w:sz="0" w:space="0" w:color="auto"/>
            <w:right w:val="none" w:sz="0" w:space="0" w:color="auto"/>
          </w:divBdr>
          <w:divsChild>
            <w:div w:id="1195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5995">
      <w:bodyDiv w:val="1"/>
      <w:marLeft w:val="0"/>
      <w:marRight w:val="0"/>
      <w:marTop w:val="0"/>
      <w:marBottom w:val="0"/>
      <w:divBdr>
        <w:top w:val="none" w:sz="0" w:space="0" w:color="auto"/>
        <w:left w:val="none" w:sz="0" w:space="0" w:color="auto"/>
        <w:bottom w:val="none" w:sz="0" w:space="0" w:color="auto"/>
        <w:right w:val="none" w:sz="0" w:space="0" w:color="auto"/>
      </w:divBdr>
      <w:divsChild>
        <w:div w:id="1068379296">
          <w:marLeft w:val="0"/>
          <w:marRight w:val="0"/>
          <w:marTop w:val="0"/>
          <w:marBottom w:val="0"/>
          <w:divBdr>
            <w:top w:val="none" w:sz="0" w:space="0" w:color="auto"/>
            <w:left w:val="none" w:sz="0" w:space="0" w:color="auto"/>
            <w:bottom w:val="none" w:sz="0" w:space="0" w:color="auto"/>
            <w:right w:val="none" w:sz="0" w:space="0" w:color="auto"/>
          </w:divBdr>
        </w:div>
        <w:div w:id="422335184">
          <w:marLeft w:val="0"/>
          <w:marRight w:val="0"/>
          <w:marTop w:val="0"/>
          <w:marBottom w:val="0"/>
          <w:divBdr>
            <w:top w:val="none" w:sz="0" w:space="0" w:color="auto"/>
            <w:left w:val="none" w:sz="0" w:space="0" w:color="auto"/>
            <w:bottom w:val="none" w:sz="0" w:space="0" w:color="auto"/>
            <w:right w:val="none" w:sz="0" w:space="0" w:color="auto"/>
          </w:divBdr>
        </w:div>
        <w:div w:id="127862799">
          <w:marLeft w:val="0"/>
          <w:marRight w:val="0"/>
          <w:marTop w:val="0"/>
          <w:marBottom w:val="0"/>
          <w:divBdr>
            <w:top w:val="none" w:sz="0" w:space="0" w:color="auto"/>
            <w:left w:val="none" w:sz="0" w:space="0" w:color="auto"/>
            <w:bottom w:val="none" w:sz="0" w:space="0" w:color="auto"/>
            <w:right w:val="none" w:sz="0" w:space="0" w:color="auto"/>
          </w:divBdr>
        </w:div>
        <w:div w:id="931082865">
          <w:marLeft w:val="0"/>
          <w:marRight w:val="0"/>
          <w:marTop w:val="0"/>
          <w:marBottom w:val="0"/>
          <w:divBdr>
            <w:top w:val="none" w:sz="0" w:space="0" w:color="auto"/>
            <w:left w:val="none" w:sz="0" w:space="0" w:color="auto"/>
            <w:bottom w:val="none" w:sz="0" w:space="0" w:color="auto"/>
            <w:right w:val="none" w:sz="0" w:space="0" w:color="auto"/>
          </w:divBdr>
        </w:div>
      </w:divsChild>
    </w:div>
    <w:div w:id="974414031">
      <w:bodyDiv w:val="1"/>
      <w:marLeft w:val="0"/>
      <w:marRight w:val="0"/>
      <w:marTop w:val="0"/>
      <w:marBottom w:val="0"/>
      <w:divBdr>
        <w:top w:val="none" w:sz="0" w:space="0" w:color="auto"/>
        <w:left w:val="none" w:sz="0" w:space="0" w:color="auto"/>
        <w:bottom w:val="none" w:sz="0" w:space="0" w:color="auto"/>
        <w:right w:val="none" w:sz="0" w:space="0" w:color="auto"/>
      </w:divBdr>
    </w:div>
    <w:div w:id="1348405591">
      <w:bodyDiv w:val="1"/>
      <w:marLeft w:val="0"/>
      <w:marRight w:val="0"/>
      <w:marTop w:val="0"/>
      <w:marBottom w:val="0"/>
      <w:divBdr>
        <w:top w:val="none" w:sz="0" w:space="0" w:color="auto"/>
        <w:left w:val="none" w:sz="0" w:space="0" w:color="auto"/>
        <w:bottom w:val="none" w:sz="0" w:space="0" w:color="auto"/>
        <w:right w:val="none" w:sz="0" w:space="0" w:color="auto"/>
      </w:divBdr>
      <w:divsChild>
        <w:div w:id="17464133">
          <w:marLeft w:val="0"/>
          <w:marRight w:val="0"/>
          <w:marTop w:val="0"/>
          <w:marBottom w:val="0"/>
          <w:divBdr>
            <w:top w:val="none" w:sz="0" w:space="0" w:color="auto"/>
            <w:left w:val="none" w:sz="0" w:space="0" w:color="auto"/>
            <w:bottom w:val="none" w:sz="0" w:space="0" w:color="auto"/>
            <w:right w:val="none" w:sz="0" w:space="0" w:color="auto"/>
          </w:divBdr>
        </w:div>
        <w:div w:id="1051272980">
          <w:marLeft w:val="0"/>
          <w:marRight w:val="0"/>
          <w:marTop w:val="0"/>
          <w:marBottom w:val="0"/>
          <w:divBdr>
            <w:top w:val="none" w:sz="0" w:space="0" w:color="auto"/>
            <w:left w:val="none" w:sz="0" w:space="0" w:color="auto"/>
            <w:bottom w:val="none" w:sz="0" w:space="0" w:color="auto"/>
            <w:right w:val="none" w:sz="0" w:space="0" w:color="auto"/>
          </w:divBdr>
        </w:div>
        <w:div w:id="1035732856">
          <w:marLeft w:val="0"/>
          <w:marRight w:val="0"/>
          <w:marTop w:val="0"/>
          <w:marBottom w:val="0"/>
          <w:divBdr>
            <w:top w:val="none" w:sz="0" w:space="0" w:color="auto"/>
            <w:left w:val="none" w:sz="0" w:space="0" w:color="auto"/>
            <w:bottom w:val="none" w:sz="0" w:space="0" w:color="auto"/>
            <w:right w:val="none" w:sz="0" w:space="0" w:color="auto"/>
          </w:divBdr>
        </w:div>
        <w:div w:id="149099373">
          <w:marLeft w:val="0"/>
          <w:marRight w:val="0"/>
          <w:marTop w:val="0"/>
          <w:marBottom w:val="0"/>
          <w:divBdr>
            <w:top w:val="none" w:sz="0" w:space="0" w:color="auto"/>
            <w:left w:val="none" w:sz="0" w:space="0" w:color="auto"/>
            <w:bottom w:val="none" w:sz="0" w:space="0" w:color="auto"/>
            <w:right w:val="none" w:sz="0" w:space="0" w:color="auto"/>
          </w:divBdr>
        </w:div>
      </w:divsChild>
    </w:div>
    <w:div w:id="1602956017">
      <w:bodyDiv w:val="1"/>
      <w:marLeft w:val="0"/>
      <w:marRight w:val="0"/>
      <w:marTop w:val="0"/>
      <w:marBottom w:val="0"/>
      <w:divBdr>
        <w:top w:val="none" w:sz="0" w:space="0" w:color="auto"/>
        <w:left w:val="none" w:sz="0" w:space="0" w:color="auto"/>
        <w:bottom w:val="none" w:sz="0" w:space="0" w:color="auto"/>
        <w:right w:val="none" w:sz="0" w:space="0" w:color="auto"/>
      </w:divBdr>
    </w:div>
    <w:div w:id="1693414700">
      <w:bodyDiv w:val="1"/>
      <w:marLeft w:val="0"/>
      <w:marRight w:val="0"/>
      <w:marTop w:val="0"/>
      <w:marBottom w:val="0"/>
      <w:divBdr>
        <w:top w:val="none" w:sz="0" w:space="0" w:color="auto"/>
        <w:left w:val="none" w:sz="0" w:space="0" w:color="auto"/>
        <w:bottom w:val="none" w:sz="0" w:space="0" w:color="auto"/>
        <w:right w:val="none" w:sz="0" w:space="0" w:color="auto"/>
      </w:divBdr>
      <w:divsChild>
        <w:div w:id="1078477610">
          <w:marLeft w:val="0"/>
          <w:marRight w:val="0"/>
          <w:marTop w:val="0"/>
          <w:marBottom w:val="0"/>
          <w:divBdr>
            <w:top w:val="none" w:sz="0" w:space="0" w:color="auto"/>
            <w:left w:val="none" w:sz="0" w:space="0" w:color="auto"/>
            <w:bottom w:val="none" w:sz="0" w:space="0" w:color="auto"/>
            <w:right w:val="none" w:sz="0" w:space="0" w:color="auto"/>
          </w:divBdr>
        </w:div>
        <w:div w:id="1062800146">
          <w:marLeft w:val="0"/>
          <w:marRight w:val="0"/>
          <w:marTop w:val="0"/>
          <w:marBottom w:val="0"/>
          <w:divBdr>
            <w:top w:val="none" w:sz="0" w:space="0" w:color="auto"/>
            <w:left w:val="none" w:sz="0" w:space="0" w:color="auto"/>
            <w:bottom w:val="none" w:sz="0" w:space="0" w:color="auto"/>
            <w:right w:val="none" w:sz="0" w:space="0" w:color="auto"/>
          </w:divBdr>
        </w:div>
        <w:div w:id="1000427175">
          <w:marLeft w:val="0"/>
          <w:marRight w:val="0"/>
          <w:marTop w:val="0"/>
          <w:marBottom w:val="0"/>
          <w:divBdr>
            <w:top w:val="none" w:sz="0" w:space="0" w:color="auto"/>
            <w:left w:val="none" w:sz="0" w:space="0" w:color="auto"/>
            <w:bottom w:val="none" w:sz="0" w:space="0" w:color="auto"/>
            <w:right w:val="none" w:sz="0" w:space="0" w:color="auto"/>
          </w:divBdr>
        </w:div>
        <w:div w:id="1068769103">
          <w:marLeft w:val="0"/>
          <w:marRight w:val="0"/>
          <w:marTop w:val="0"/>
          <w:marBottom w:val="0"/>
          <w:divBdr>
            <w:top w:val="none" w:sz="0" w:space="0" w:color="auto"/>
            <w:left w:val="none" w:sz="0" w:space="0" w:color="auto"/>
            <w:bottom w:val="none" w:sz="0" w:space="0" w:color="auto"/>
            <w:right w:val="none" w:sz="0" w:space="0" w:color="auto"/>
          </w:divBdr>
          <w:divsChild>
            <w:div w:id="1086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5952">
      <w:bodyDiv w:val="1"/>
      <w:marLeft w:val="0"/>
      <w:marRight w:val="0"/>
      <w:marTop w:val="0"/>
      <w:marBottom w:val="0"/>
      <w:divBdr>
        <w:top w:val="none" w:sz="0" w:space="0" w:color="auto"/>
        <w:left w:val="none" w:sz="0" w:space="0" w:color="auto"/>
        <w:bottom w:val="none" w:sz="0" w:space="0" w:color="auto"/>
        <w:right w:val="none" w:sz="0" w:space="0" w:color="auto"/>
      </w:divBdr>
    </w:div>
    <w:div w:id="1967929975">
      <w:bodyDiv w:val="1"/>
      <w:marLeft w:val="0"/>
      <w:marRight w:val="0"/>
      <w:marTop w:val="0"/>
      <w:marBottom w:val="0"/>
      <w:divBdr>
        <w:top w:val="none" w:sz="0" w:space="0" w:color="auto"/>
        <w:left w:val="none" w:sz="0" w:space="0" w:color="auto"/>
        <w:bottom w:val="none" w:sz="0" w:space="0" w:color="auto"/>
        <w:right w:val="none" w:sz="0" w:space="0" w:color="auto"/>
      </w:divBdr>
    </w:div>
    <w:div w:id="2126535805">
      <w:bodyDiv w:val="1"/>
      <w:marLeft w:val="0"/>
      <w:marRight w:val="0"/>
      <w:marTop w:val="0"/>
      <w:marBottom w:val="0"/>
      <w:divBdr>
        <w:top w:val="none" w:sz="0" w:space="0" w:color="auto"/>
        <w:left w:val="none" w:sz="0" w:space="0" w:color="auto"/>
        <w:bottom w:val="none" w:sz="0" w:space="0" w:color="auto"/>
        <w:right w:val="none" w:sz="0" w:space="0" w:color="auto"/>
      </w:divBdr>
      <w:divsChild>
        <w:div w:id="1991981214">
          <w:marLeft w:val="0"/>
          <w:marRight w:val="0"/>
          <w:marTop w:val="0"/>
          <w:marBottom w:val="0"/>
          <w:divBdr>
            <w:top w:val="none" w:sz="0" w:space="0" w:color="auto"/>
            <w:left w:val="none" w:sz="0" w:space="0" w:color="auto"/>
            <w:bottom w:val="none" w:sz="0" w:space="0" w:color="auto"/>
            <w:right w:val="none" w:sz="0" w:space="0" w:color="auto"/>
          </w:divBdr>
        </w:div>
        <w:div w:id="628977611">
          <w:marLeft w:val="0"/>
          <w:marRight w:val="0"/>
          <w:marTop w:val="0"/>
          <w:marBottom w:val="0"/>
          <w:divBdr>
            <w:top w:val="none" w:sz="0" w:space="0" w:color="auto"/>
            <w:left w:val="none" w:sz="0" w:space="0" w:color="auto"/>
            <w:bottom w:val="none" w:sz="0" w:space="0" w:color="auto"/>
            <w:right w:val="none" w:sz="0" w:space="0" w:color="auto"/>
          </w:divBdr>
        </w:div>
        <w:div w:id="1998340717">
          <w:marLeft w:val="0"/>
          <w:marRight w:val="0"/>
          <w:marTop w:val="0"/>
          <w:marBottom w:val="0"/>
          <w:divBdr>
            <w:top w:val="none" w:sz="0" w:space="0" w:color="auto"/>
            <w:left w:val="none" w:sz="0" w:space="0" w:color="auto"/>
            <w:bottom w:val="none" w:sz="0" w:space="0" w:color="auto"/>
            <w:right w:val="none" w:sz="0" w:space="0" w:color="auto"/>
          </w:divBdr>
        </w:div>
        <w:div w:id="2030984769">
          <w:marLeft w:val="0"/>
          <w:marRight w:val="0"/>
          <w:marTop w:val="0"/>
          <w:marBottom w:val="0"/>
          <w:divBdr>
            <w:top w:val="none" w:sz="0" w:space="0" w:color="auto"/>
            <w:left w:val="none" w:sz="0" w:space="0" w:color="auto"/>
            <w:bottom w:val="none" w:sz="0" w:space="0" w:color="auto"/>
            <w:right w:val="none" w:sz="0" w:space="0" w:color="auto"/>
          </w:divBdr>
        </w:div>
      </w:divsChild>
    </w:div>
    <w:div w:id="2142838437">
      <w:bodyDiv w:val="1"/>
      <w:marLeft w:val="0"/>
      <w:marRight w:val="0"/>
      <w:marTop w:val="0"/>
      <w:marBottom w:val="0"/>
      <w:divBdr>
        <w:top w:val="none" w:sz="0" w:space="0" w:color="auto"/>
        <w:left w:val="none" w:sz="0" w:space="0" w:color="auto"/>
        <w:bottom w:val="none" w:sz="0" w:space="0" w:color="auto"/>
        <w:right w:val="none" w:sz="0" w:space="0" w:color="auto"/>
      </w:divBdr>
      <w:divsChild>
        <w:div w:id="185618514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vbpl.vn/TW/pages/vbpq-timkiem.aspx?type=0&amp;s=1&amp;Keyword=106/2009/N%C4%90-CP&amp;SearchIn=Title,Title1&amp;IsRec=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Admin</cp:lastModifiedBy>
  <cp:revision>3</cp:revision>
  <dcterms:created xsi:type="dcterms:W3CDTF">2015-01-02T06:22:00Z</dcterms:created>
  <dcterms:modified xsi:type="dcterms:W3CDTF">2020-10-23T01:27:00Z</dcterms:modified>
</cp:coreProperties>
</file>