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348"/>
        <w:gridCol w:w="5631"/>
      </w:tblGrid>
      <w:tr w:rsidR="002C3469" w:rsidRPr="00A9358F" w:rsidTr="002C3469">
        <w:tc>
          <w:tcPr>
            <w:tcW w:w="3348" w:type="dxa"/>
            <w:shd w:val="clear" w:color="auto" w:fill="FFFFFF"/>
            <w:tcMar>
              <w:top w:w="0" w:type="dxa"/>
              <w:left w:w="108" w:type="dxa"/>
              <w:bottom w:w="0" w:type="dxa"/>
              <w:right w:w="108" w:type="dxa"/>
            </w:tcMar>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b/>
                <w:bCs/>
                <w:color w:val="000000"/>
                <w:sz w:val="24"/>
                <w:szCs w:val="24"/>
              </w:rPr>
              <w:t>THỦ TƯỚNG CHÍNH PHỦ</w:t>
            </w:r>
            <w:r w:rsidRPr="00A9358F">
              <w:rPr>
                <w:rFonts w:eastAsia="Times New Roman" w:cs="Times New Roman"/>
                <w:b/>
                <w:bCs/>
                <w:color w:val="000000"/>
                <w:sz w:val="24"/>
                <w:szCs w:val="24"/>
              </w:rPr>
              <w:br/>
              <w:t>--------</w:t>
            </w:r>
          </w:p>
        </w:tc>
        <w:tc>
          <w:tcPr>
            <w:tcW w:w="5631" w:type="dxa"/>
            <w:shd w:val="clear" w:color="auto" w:fill="FFFFFF"/>
            <w:tcMar>
              <w:top w:w="0" w:type="dxa"/>
              <w:left w:w="108" w:type="dxa"/>
              <w:bottom w:w="0" w:type="dxa"/>
              <w:right w:w="108" w:type="dxa"/>
            </w:tcMar>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b/>
                <w:bCs/>
                <w:color w:val="000000"/>
                <w:sz w:val="24"/>
                <w:szCs w:val="24"/>
              </w:rPr>
              <w:t>CỘNG HÒA XÃ HỘI CHỦ NGHĨA VIỆT NAM</w:t>
            </w:r>
            <w:r w:rsidRPr="00A9358F">
              <w:rPr>
                <w:rFonts w:eastAsia="Times New Roman" w:cs="Times New Roman"/>
                <w:b/>
                <w:bCs/>
                <w:color w:val="000000"/>
                <w:sz w:val="24"/>
                <w:szCs w:val="24"/>
              </w:rPr>
              <w:br/>
              <w:t>Độc lập - Tự do - Hạnh phúc</w:t>
            </w:r>
            <w:r w:rsidRPr="00A9358F">
              <w:rPr>
                <w:rFonts w:eastAsia="Times New Roman" w:cs="Times New Roman"/>
                <w:b/>
                <w:bCs/>
                <w:color w:val="000000"/>
                <w:sz w:val="24"/>
                <w:szCs w:val="24"/>
              </w:rPr>
              <w:br/>
              <w:t>----------------</w:t>
            </w:r>
          </w:p>
        </w:tc>
      </w:tr>
      <w:tr w:rsidR="002C3469" w:rsidRPr="00A9358F" w:rsidTr="002C3469">
        <w:tc>
          <w:tcPr>
            <w:tcW w:w="3348" w:type="dxa"/>
            <w:shd w:val="clear" w:color="auto" w:fill="FFFFFF"/>
            <w:tcMar>
              <w:top w:w="0" w:type="dxa"/>
              <w:left w:w="108" w:type="dxa"/>
              <w:bottom w:w="0" w:type="dxa"/>
              <w:right w:w="108" w:type="dxa"/>
            </w:tcMar>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color w:val="000000"/>
                <w:sz w:val="24"/>
                <w:szCs w:val="24"/>
              </w:rPr>
              <w:t>Số: 24/2013/QĐ-TTg</w:t>
            </w:r>
          </w:p>
        </w:tc>
        <w:tc>
          <w:tcPr>
            <w:tcW w:w="5631" w:type="dxa"/>
            <w:shd w:val="clear" w:color="auto" w:fill="FFFFFF"/>
            <w:tcMar>
              <w:top w:w="0" w:type="dxa"/>
              <w:left w:w="108" w:type="dxa"/>
              <w:bottom w:w="0" w:type="dxa"/>
              <w:right w:w="108" w:type="dxa"/>
            </w:tcMar>
            <w:hideMark/>
          </w:tcPr>
          <w:p w:rsidR="002C3469" w:rsidRPr="00A9358F" w:rsidRDefault="002C3469" w:rsidP="00A9358F">
            <w:pPr>
              <w:spacing w:before="120" w:after="0" w:line="360" w:lineRule="auto"/>
              <w:jc w:val="right"/>
              <w:rPr>
                <w:rFonts w:eastAsia="Times New Roman" w:cs="Times New Roman"/>
                <w:color w:val="000000"/>
                <w:sz w:val="24"/>
                <w:szCs w:val="24"/>
              </w:rPr>
            </w:pPr>
            <w:r w:rsidRPr="00A9358F">
              <w:rPr>
                <w:rFonts w:eastAsia="Times New Roman" w:cs="Times New Roman"/>
                <w:i/>
                <w:iCs/>
                <w:color w:val="000000"/>
                <w:sz w:val="24"/>
                <w:szCs w:val="24"/>
              </w:rPr>
              <w:t>Hà Nội, ngày 03 tháng 05 năm 2013</w:t>
            </w:r>
          </w:p>
        </w:tc>
      </w:tr>
    </w:tbl>
    <w:p w:rsidR="002C3469" w:rsidRPr="00A9358F" w:rsidRDefault="002C3469" w:rsidP="00A9358F">
      <w:pPr>
        <w:shd w:val="clear" w:color="auto" w:fill="FFFFFF"/>
        <w:spacing w:before="120" w:after="0" w:line="360" w:lineRule="auto"/>
        <w:jc w:val="both"/>
        <w:rPr>
          <w:rFonts w:eastAsia="Times New Roman" w:cs="Times New Roman"/>
          <w:color w:val="000000"/>
          <w:sz w:val="24"/>
          <w:szCs w:val="24"/>
        </w:rPr>
      </w:pPr>
      <w:r w:rsidRPr="00A9358F">
        <w:rPr>
          <w:rFonts w:eastAsia="Times New Roman" w:cs="Times New Roman"/>
          <w:color w:val="000000"/>
          <w:sz w:val="24"/>
          <w:szCs w:val="24"/>
        </w:rPr>
        <w:t> </w:t>
      </w:r>
    </w:p>
    <w:p w:rsidR="002C3469" w:rsidRPr="00A9358F" w:rsidRDefault="002C3469" w:rsidP="00A9358F">
      <w:pPr>
        <w:shd w:val="clear" w:color="auto" w:fill="FFFFFF"/>
        <w:spacing w:before="120" w:after="0" w:line="360" w:lineRule="auto"/>
        <w:jc w:val="center"/>
        <w:rPr>
          <w:rFonts w:eastAsia="Times New Roman" w:cs="Times New Roman"/>
          <w:color w:val="000000"/>
          <w:sz w:val="24"/>
          <w:szCs w:val="24"/>
        </w:rPr>
      </w:pPr>
      <w:r w:rsidRPr="00A9358F">
        <w:rPr>
          <w:rFonts w:eastAsia="Times New Roman" w:cs="Times New Roman"/>
          <w:b/>
          <w:bCs/>
          <w:color w:val="000000"/>
          <w:sz w:val="24"/>
          <w:szCs w:val="24"/>
        </w:rPr>
        <w:t>QUYẾT ĐỊNH</w:t>
      </w:r>
    </w:p>
    <w:p w:rsidR="002C3469" w:rsidRPr="00A9358F" w:rsidRDefault="002C3469" w:rsidP="00A9358F">
      <w:pPr>
        <w:shd w:val="clear" w:color="auto" w:fill="FFFFFF"/>
        <w:spacing w:before="120" w:after="0" w:line="360" w:lineRule="auto"/>
        <w:jc w:val="center"/>
        <w:rPr>
          <w:rFonts w:eastAsia="Times New Roman" w:cs="Times New Roman"/>
          <w:color w:val="000000"/>
          <w:sz w:val="24"/>
          <w:szCs w:val="24"/>
        </w:rPr>
      </w:pPr>
      <w:r w:rsidRPr="00A9358F">
        <w:rPr>
          <w:rFonts w:eastAsia="Times New Roman" w:cs="Times New Roman"/>
          <w:color w:val="000000"/>
          <w:sz w:val="24"/>
          <w:szCs w:val="24"/>
        </w:rPr>
        <w:t>SỬA ĐỔI, BỔ SUNG KHOẢN 1 ĐIỀU 1 QUYẾT ĐỊNH SỐ 36/2011/QĐ-TTG NGÀY 29 THÁNG 6 NĂM 2011 VỀ VIỆC BAN HÀNH MỨC THUẾ NHẬP KHẨU XE Ô TÔ CHỞ NGƯỜI TỪ 15 CHỖ NGỒI TRỞ XUỐNG ĐÃ QUA SỬ DỤNG</w:t>
      </w:r>
    </w:p>
    <w:p w:rsidR="002C3469" w:rsidRPr="00A9358F" w:rsidRDefault="002C3469" w:rsidP="00A9358F">
      <w:pPr>
        <w:shd w:val="clear" w:color="auto" w:fill="FFFFFF"/>
        <w:spacing w:before="120" w:after="0" w:line="360" w:lineRule="auto"/>
        <w:jc w:val="both"/>
        <w:rPr>
          <w:rFonts w:eastAsia="Times New Roman" w:cs="Times New Roman"/>
          <w:color w:val="000000"/>
          <w:sz w:val="24"/>
          <w:szCs w:val="24"/>
        </w:rPr>
      </w:pPr>
      <w:r w:rsidRPr="00A9358F">
        <w:rPr>
          <w:rFonts w:eastAsia="Times New Roman" w:cs="Times New Roman"/>
          <w:i/>
          <w:iCs/>
          <w:color w:val="000000"/>
          <w:sz w:val="24"/>
          <w:szCs w:val="24"/>
        </w:rPr>
        <w:t>Căn cứ Luật tổ chức Chính phủ ngày 25 tháng 12 năm 2001;</w:t>
      </w:r>
    </w:p>
    <w:p w:rsidR="002C3469" w:rsidRPr="00A9358F" w:rsidRDefault="002C3469" w:rsidP="00A9358F">
      <w:pPr>
        <w:shd w:val="clear" w:color="auto" w:fill="FFFFFF"/>
        <w:spacing w:before="120" w:after="0" w:line="360" w:lineRule="auto"/>
        <w:jc w:val="both"/>
        <w:rPr>
          <w:rFonts w:eastAsia="Times New Roman" w:cs="Times New Roman"/>
          <w:color w:val="000000"/>
          <w:sz w:val="24"/>
          <w:szCs w:val="24"/>
        </w:rPr>
      </w:pPr>
      <w:r w:rsidRPr="00A9358F">
        <w:rPr>
          <w:rFonts w:eastAsia="Times New Roman" w:cs="Times New Roman"/>
          <w:i/>
          <w:iCs/>
          <w:color w:val="000000"/>
          <w:sz w:val="24"/>
          <w:szCs w:val="24"/>
        </w:rPr>
        <w:t>Căn cứ Luật thuế xuất khẩu, thuế nhập khẩu ngày 14 tháng 6 năm 2005;</w:t>
      </w:r>
    </w:p>
    <w:p w:rsidR="002C3469" w:rsidRPr="00A9358F" w:rsidRDefault="002C3469" w:rsidP="00A9358F">
      <w:pPr>
        <w:shd w:val="clear" w:color="auto" w:fill="FFFFFF"/>
        <w:spacing w:before="120" w:after="0" w:line="360" w:lineRule="auto"/>
        <w:jc w:val="both"/>
        <w:rPr>
          <w:rFonts w:eastAsia="Times New Roman" w:cs="Times New Roman"/>
          <w:color w:val="000000"/>
          <w:sz w:val="24"/>
          <w:szCs w:val="24"/>
        </w:rPr>
      </w:pPr>
      <w:r w:rsidRPr="00A9358F">
        <w:rPr>
          <w:rFonts w:eastAsia="Times New Roman" w:cs="Times New Roman"/>
          <w:i/>
          <w:iCs/>
          <w:color w:val="000000"/>
          <w:sz w:val="24"/>
          <w:szCs w:val="24"/>
        </w:rPr>
        <w:t>Căn cứ Nghị định số 87/2010/NĐ-CP ngày 13 tháng 8 năm 2010 của Chính phủ quy định chi tiết thi hành một số điều của Luật thuế xuất khẩu, thuế nhập khẩu;</w:t>
      </w:r>
    </w:p>
    <w:p w:rsidR="002C3469" w:rsidRPr="00A9358F" w:rsidRDefault="002C3469" w:rsidP="00A9358F">
      <w:pPr>
        <w:shd w:val="clear" w:color="auto" w:fill="FFFFFF"/>
        <w:spacing w:before="120" w:after="0" w:line="360" w:lineRule="auto"/>
        <w:jc w:val="both"/>
        <w:rPr>
          <w:rFonts w:eastAsia="Times New Roman" w:cs="Times New Roman"/>
          <w:color w:val="000000"/>
          <w:sz w:val="24"/>
          <w:szCs w:val="24"/>
        </w:rPr>
      </w:pPr>
      <w:r w:rsidRPr="00A9358F">
        <w:rPr>
          <w:rFonts w:eastAsia="Times New Roman" w:cs="Times New Roman"/>
          <w:i/>
          <w:iCs/>
          <w:color w:val="000000"/>
          <w:sz w:val="24"/>
          <w:szCs w:val="24"/>
        </w:rPr>
        <w:t>Theo đề nghị của Bộ trưởng Bộ Tài chính;</w:t>
      </w:r>
    </w:p>
    <w:p w:rsidR="002C3469" w:rsidRPr="00A9358F" w:rsidRDefault="002C3469" w:rsidP="00A9358F">
      <w:pPr>
        <w:shd w:val="clear" w:color="auto" w:fill="FFFFFF"/>
        <w:spacing w:before="120" w:after="0" w:line="360" w:lineRule="auto"/>
        <w:jc w:val="both"/>
        <w:rPr>
          <w:rFonts w:eastAsia="Times New Roman" w:cs="Times New Roman"/>
          <w:color w:val="000000"/>
          <w:sz w:val="24"/>
          <w:szCs w:val="24"/>
        </w:rPr>
      </w:pPr>
      <w:r w:rsidRPr="00A9358F">
        <w:rPr>
          <w:rFonts w:eastAsia="Times New Roman" w:cs="Times New Roman"/>
          <w:i/>
          <w:iCs/>
          <w:color w:val="000000"/>
          <w:sz w:val="24"/>
          <w:szCs w:val="24"/>
        </w:rPr>
        <w:t>Thủ tướng Chính phủ ban hành Quyết định sửa đổi, bổ sung Khoản 1 Điều 1 Quyết định số 36/2011/QĐ-TTg ngày 29 tháng 6 năm 2011 về việc ban hành mức thuế nhập khẩu xe ô tô chở người từ 15 chỗ ngồi trở xuống đã qua sử dụng,</w:t>
      </w:r>
    </w:p>
    <w:p w:rsidR="002C3469" w:rsidRPr="00A9358F" w:rsidRDefault="002C3469" w:rsidP="00A9358F">
      <w:pPr>
        <w:shd w:val="clear" w:color="auto" w:fill="FFFFFF"/>
        <w:spacing w:before="120" w:after="0" w:line="360" w:lineRule="auto"/>
        <w:jc w:val="both"/>
        <w:rPr>
          <w:rFonts w:eastAsia="Times New Roman" w:cs="Times New Roman"/>
          <w:color w:val="000000"/>
          <w:sz w:val="24"/>
          <w:szCs w:val="24"/>
        </w:rPr>
      </w:pPr>
      <w:r w:rsidRPr="00A9358F">
        <w:rPr>
          <w:rFonts w:eastAsia="Times New Roman" w:cs="Times New Roman"/>
          <w:b/>
          <w:bCs/>
          <w:color w:val="000000"/>
          <w:sz w:val="24"/>
          <w:szCs w:val="24"/>
        </w:rPr>
        <w:t>Điều 1.</w:t>
      </w:r>
      <w:r w:rsidRPr="00A9358F">
        <w:rPr>
          <w:rFonts w:eastAsia="Times New Roman" w:cs="Times New Roman"/>
          <w:color w:val="000000"/>
          <w:sz w:val="24"/>
          <w:szCs w:val="24"/>
        </w:rPr>
        <w:t> Sửa đổi, bổ sung Khoản 1 Điều 1 Quyết định số 36/2011/QĐ-TTg ngày 29 tháng 6 năm 2011 về việc ban hành mức thuế nhập khẩu xe ô tô chở người từ 15 chỗ ngồi trở xuống đã qua sử dụng như sau:</w:t>
      </w:r>
    </w:p>
    <w:p w:rsidR="002C3469" w:rsidRPr="00A9358F" w:rsidRDefault="002C3469" w:rsidP="00A9358F">
      <w:pPr>
        <w:shd w:val="clear" w:color="auto" w:fill="FFFFFF"/>
        <w:spacing w:before="120" w:after="0" w:line="360" w:lineRule="auto"/>
        <w:jc w:val="both"/>
        <w:rPr>
          <w:rFonts w:eastAsia="Times New Roman" w:cs="Times New Roman"/>
          <w:color w:val="000000"/>
          <w:sz w:val="24"/>
          <w:szCs w:val="24"/>
        </w:rPr>
      </w:pPr>
      <w:r w:rsidRPr="00A9358F">
        <w:rPr>
          <w:rFonts w:eastAsia="Times New Roman" w:cs="Times New Roman"/>
          <w:color w:val="000000"/>
          <w:sz w:val="24"/>
          <w:szCs w:val="24"/>
        </w:rPr>
        <w:t>"1. Đối với xe ô tô chở người từ 09 chỗ ngồi trở xuống (kể cả lái xe) có dung tích xi lanh dưới 1.500 cc:</w:t>
      </w:r>
    </w:p>
    <w:tbl>
      <w:tblPr>
        <w:tblW w:w="0" w:type="auto"/>
        <w:shd w:val="clear" w:color="auto" w:fill="FFFFFF"/>
        <w:tblCellMar>
          <w:left w:w="0" w:type="dxa"/>
          <w:right w:w="0" w:type="dxa"/>
        </w:tblCellMar>
        <w:tblLook w:val="04A0" w:firstRow="1" w:lastRow="0" w:firstColumn="1" w:lastColumn="0" w:noHBand="0" w:noVBand="1"/>
      </w:tblPr>
      <w:tblGrid>
        <w:gridCol w:w="3005"/>
        <w:gridCol w:w="3105"/>
        <w:gridCol w:w="1103"/>
        <w:gridCol w:w="1437"/>
      </w:tblGrid>
      <w:tr w:rsidR="002C3469" w:rsidRPr="00A9358F" w:rsidTr="002C3469">
        <w:tc>
          <w:tcPr>
            <w:tcW w:w="3005" w:type="dxa"/>
            <w:tcBorders>
              <w:top w:val="single" w:sz="8" w:space="0" w:color="auto"/>
              <w:left w:val="single" w:sz="8" w:space="0" w:color="auto"/>
              <w:bottom w:val="single" w:sz="8" w:space="0" w:color="auto"/>
              <w:right w:val="single" w:sz="8" w:space="0" w:color="auto"/>
            </w:tcBorders>
            <w:shd w:val="clear" w:color="auto" w:fill="FFFFFF"/>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b/>
                <w:bCs/>
                <w:color w:val="000000"/>
                <w:sz w:val="24"/>
                <w:szCs w:val="24"/>
              </w:rPr>
              <w:lastRenderedPageBreak/>
              <w:t>Mô tả mặt hàng</w:t>
            </w:r>
          </w:p>
        </w:tc>
        <w:tc>
          <w:tcPr>
            <w:tcW w:w="3105" w:type="dxa"/>
            <w:tcBorders>
              <w:top w:val="single" w:sz="8" w:space="0" w:color="auto"/>
              <w:left w:val="nil"/>
              <w:bottom w:val="single" w:sz="8" w:space="0" w:color="auto"/>
              <w:right w:val="single" w:sz="8" w:space="0" w:color="auto"/>
            </w:tcBorders>
            <w:shd w:val="clear" w:color="auto" w:fill="FFFFFF"/>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b/>
                <w:bCs/>
                <w:color w:val="000000"/>
                <w:sz w:val="24"/>
                <w:szCs w:val="24"/>
              </w:rPr>
              <w:t>Thuộc nhóm mã số trong Biểu thuế nhập khẩu ưu đãi</w:t>
            </w:r>
          </w:p>
        </w:tc>
        <w:tc>
          <w:tcPr>
            <w:tcW w:w="1103" w:type="dxa"/>
            <w:tcBorders>
              <w:top w:val="single" w:sz="8" w:space="0" w:color="auto"/>
              <w:left w:val="nil"/>
              <w:bottom w:val="single" w:sz="8" w:space="0" w:color="auto"/>
              <w:right w:val="single" w:sz="8" w:space="0" w:color="auto"/>
            </w:tcBorders>
            <w:shd w:val="clear" w:color="auto" w:fill="FFFFFF"/>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b/>
                <w:bCs/>
                <w:color w:val="000000"/>
                <w:sz w:val="24"/>
                <w:szCs w:val="24"/>
              </w:rPr>
              <w:t>Đơn vị tính</w:t>
            </w:r>
          </w:p>
        </w:tc>
        <w:tc>
          <w:tcPr>
            <w:tcW w:w="1437" w:type="dxa"/>
            <w:tcBorders>
              <w:top w:val="single" w:sz="8" w:space="0" w:color="auto"/>
              <w:left w:val="nil"/>
              <w:bottom w:val="single" w:sz="8" w:space="0" w:color="auto"/>
              <w:right w:val="single" w:sz="8" w:space="0" w:color="auto"/>
            </w:tcBorders>
            <w:shd w:val="clear" w:color="auto" w:fill="FFFFFF"/>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b/>
                <w:bCs/>
                <w:color w:val="000000"/>
                <w:sz w:val="24"/>
                <w:szCs w:val="24"/>
              </w:rPr>
              <w:t>Mức thuế (USD)</w:t>
            </w:r>
          </w:p>
        </w:tc>
      </w:tr>
      <w:tr w:rsidR="002C3469" w:rsidRPr="00A9358F" w:rsidTr="002C3469">
        <w:tc>
          <w:tcPr>
            <w:tcW w:w="3005" w:type="dxa"/>
            <w:tcBorders>
              <w:top w:val="nil"/>
              <w:left w:val="single" w:sz="8" w:space="0" w:color="auto"/>
              <w:bottom w:val="single" w:sz="8" w:space="0" w:color="auto"/>
              <w:right w:val="single" w:sz="8" w:space="0" w:color="auto"/>
            </w:tcBorders>
            <w:shd w:val="clear" w:color="auto" w:fill="FFFFFF"/>
            <w:hideMark/>
          </w:tcPr>
          <w:p w:rsidR="002C3469" w:rsidRPr="00A9358F" w:rsidRDefault="002C3469" w:rsidP="00A9358F">
            <w:pPr>
              <w:spacing w:before="120" w:after="0" w:line="360" w:lineRule="auto"/>
              <w:jc w:val="both"/>
              <w:rPr>
                <w:rFonts w:eastAsia="Times New Roman" w:cs="Times New Roman"/>
                <w:color w:val="000000"/>
                <w:sz w:val="24"/>
                <w:szCs w:val="24"/>
              </w:rPr>
            </w:pPr>
            <w:r w:rsidRPr="00A9358F">
              <w:rPr>
                <w:rFonts w:eastAsia="Times New Roman" w:cs="Times New Roman"/>
                <w:color w:val="000000"/>
                <w:sz w:val="24"/>
                <w:szCs w:val="24"/>
              </w:rPr>
              <w:t>- Dưới 1.000cc</w:t>
            </w:r>
          </w:p>
        </w:tc>
        <w:tc>
          <w:tcPr>
            <w:tcW w:w="3105" w:type="dxa"/>
            <w:tcBorders>
              <w:top w:val="nil"/>
              <w:left w:val="nil"/>
              <w:bottom w:val="single" w:sz="8" w:space="0" w:color="auto"/>
              <w:right w:val="single" w:sz="8" w:space="0" w:color="auto"/>
            </w:tcBorders>
            <w:shd w:val="clear" w:color="auto" w:fill="FFFFFF"/>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color w:val="000000"/>
                <w:sz w:val="24"/>
                <w:szCs w:val="24"/>
              </w:rPr>
              <w:t>8703</w:t>
            </w:r>
          </w:p>
        </w:tc>
        <w:tc>
          <w:tcPr>
            <w:tcW w:w="1103" w:type="dxa"/>
            <w:tcBorders>
              <w:top w:val="nil"/>
              <w:left w:val="nil"/>
              <w:bottom w:val="single" w:sz="8" w:space="0" w:color="auto"/>
              <w:right w:val="single" w:sz="8" w:space="0" w:color="auto"/>
            </w:tcBorders>
            <w:shd w:val="clear" w:color="auto" w:fill="FFFFFF"/>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color w:val="000000"/>
                <w:sz w:val="24"/>
                <w:szCs w:val="24"/>
              </w:rPr>
              <w:t>Chiếc</w:t>
            </w:r>
          </w:p>
        </w:tc>
        <w:tc>
          <w:tcPr>
            <w:tcW w:w="1437" w:type="dxa"/>
            <w:tcBorders>
              <w:top w:val="nil"/>
              <w:left w:val="nil"/>
              <w:bottom w:val="single" w:sz="8" w:space="0" w:color="auto"/>
              <w:right w:val="single" w:sz="8" w:space="0" w:color="auto"/>
            </w:tcBorders>
            <w:shd w:val="clear" w:color="auto" w:fill="FFFFFF"/>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color w:val="000000"/>
                <w:sz w:val="24"/>
                <w:szCs w:val="24"/>
              </w:rPr>
              <w:t>5.000,00</w:t>
            </w:r>
          </w:p>
        </w:tc>
      </w:tr>
      <w:tr w:rsidR="002C3469" w:rsidRPr="00A9358F" w:rsidTr="002C3469">
        <w:tc>
          <w:tcPr>
            <w:tcW w:w="3005" w:type="dxa"/>
            <w:tcBorders>
              <w:top w:val="nil"/>
              <w:left w:val="single" w:sz="8" w:space="0" w:color="auto"/>
              <w:bottom w:val="single" w:sz="8" w:space="0" w:color="auto"/>
              <w:right w:val="single" w:sz="8" w:space="0" w:color="auto"/>
            </w:tcBorders>
            <w:shd w:val="clear" w:color="auto" w:fill="FFFFFF"/>
            <w:hideMark/>
          </w:tcPr>
          <w:p w:rsidR="002C3469" w:rsidRPr="00A9358F" w:rsidRDefault="002C3469" w:rsidP="00A9358F">
            <w:pPr>
              <w:spacing w:before="120" w:after="0" w:line="360" w:lineRule="auto"/>
              <w:jc w:val="both"/>
              <w:rPr>
                <w:rFonts w:eastAsia="Times New Roman" w:cs="Times New Roman"/>
                <w:color w:val="000000"/>
                <w:sz w:val="24"/>
                <w:szCs w:val="24"/>
              </w:rPr>
            </w:pPr>
            <w:r w:rsidRPr="00A9358F">
              <w:rPr>
                <w:rFonts w:eastAsia="Times New Roman" w:cs="Times New Roman"/>
                <w:color w:val="000000"/>
                <w:sz w:val="24"/>
                <w:szCs w:val="24"/>
              </w:rPr>
              <w:t>- Từ 1.000 đến dưới 1.500cc</w:t>
            </w:r>
          </w:p>
        </w:tc>
        <w:tc>
          <w:tcPr>
            <w:tcW w:w="3105" w:type="dxa"/>
            <w:tcBorders>
              <w:top w:val="nil"/>
              <w:left w:val="nil"/>
              <w:bottom w:val="single" w:sz="8" w:space="0" w:color="auto"/>
              <w:right w:val="single" w:sz="8" w:space="0" w:color="auto"/>
            </w:tcBorders>
            <w:shd w:val="clear" w:color="auto" w:fill="FFFFFF"/>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color w:val="000000"/>
                <w:sz w:val="24"/>
                <w:szCs w:val="24"/>
              </w:rPr>
              <w:t>8703</w:t>
            </w:r>
          </w:p>
        </w:tc>
        <w:tc>
          <w:tcPr>
            <w:tcW w:w="1103" w:type="dxa"/>
            <w:tcBorders>
              <w:top w:val="nil"/>
              <w:left w:val="nil"/>
              <w:bottom w:val="single" w:sz="8" w:space="0" w:color="auto"/>
              <w:right w:val="single" w:sz="8" w:space="0" w:color="auto"/>
            </w:tcBorders>
            <w:shd w:val="clear" w:color="auto" w:fill="FFFFFF"/>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color w:val="000000"/>
                <w:sz w:val="24"/>
                <w:szCs w:val="24"/>
              </w:rPr>
              <w:t>Chiếc</w:t>
            </w:r>
          </w:p>
        </w:tc>
        <w:tc>
          <w:tcPr>
            <w:tcW w:w="1437" w:type="dxa"/>
            <w:tcBorders>
              <w:top w:val="nil"/>
              <w:left w:val="nil"/>
              <w:bottom w:val="single" w:sz="8" w:space="0" w:color="auto"/>
              <w:right w:val="single" w:sz="8" w:space="0" w:color="auto"/>
            </w:tcBorders>
            <w:shd w:val="clear" w:color="auto" w:fill="FFFFFF"/>
            <w:hideMark/>
          </w:tcPr>
          <w:p w:rsidR="002C3469" w:rsidRPr="00A9358F" w:rsidRDefault="002C3469" w:rsidP="00A9358F">
            <w:pPr>
              <w:spacing w:before="120" w:after="0" w:line="360" w:lineRule="auto"/>
              <w:jc w:val="center"/>
              <w:rPr>
                <w:rFonts w:eastAsia="Times New Roman" w:cs="Times New Roman"/>
                <w:color w:val="000000"/>
                <w:sz w:val="24"/>
                <w:szCs w:val="24"/>
              </w:rPr>
            </w:pPr>
            <w:r w:rsidRPr="00A9358F">
              <w:rPr>
                <w:rFonts w:eastAsia="Times New Roman" w:cs="Times New Roman"/>
                <w:color w:val="000000"/>
                <w:sz w:val="24"/>
                <w:szCs w:val="24"/>
              </w:rPr>
              <w:t>10.000,00</w:t>
            </w:r>
          </w:p>
        </w:tc>
      </w:tr>
    </w:tbl>
    <w:p w:rsidR="002C3469" w:rsidRPr="00A9358F" w:rsidRDefault="002C3469" w:rsidP="00A9358F">
      <w:pPr>
        <w:shd w:val="clear" w:color="auto" w:fill="FFFFFF"/>
        <w:spacing w:before="120" w:after="0" w:line="360" w:lineRule="auto"/>
        <w:jc w:val="both"/>
        <w:rPr>
          <w:rFonts w:eastAsia="Times New Roman" w:cs="Times New Roman"/>
          <w:color w:val="000000"/>
          <w:sz w:val="24"/>
          <w:szCs w:val="24"/>
        </w:rPr>
      </w:pPr>
      <w:r w:rsidRPr="00A9358F">
        <w:rPr>
          <w:rFonts w:eastAsia="Times New Roman" w:cs="Times New Roman"/>
          <w:b/>
          <w:bCs/>
          <w:color w:val="000000"/>
          <w:sz w:val="24"/>
          <w:szCs w:val="24"/>
        </w:rPr>
        <w:t>Điều 2.</w:t>
      </w:r>
      <w:r w:rsidRPr="00A9358F">
        <w:rPr>
          <w:rFonts w:eastAsia="Times New Roman" w:cs="Times New Roman"/>
          <w:color w:val="000000"/>
          <w:sz w:val="24"/>
          <w:szCs w:val="24"/>
        </w:rPr>
        <w:t> Điều khoản thi hành</w:t>
      </w:r>
    </w:p>
    <w:p w:rsidR="002C3469" w:rsidRPr="00A9358F" w:rsidRDefault="002C3469" w:rsidP="00A9358F">
      <w:pPr>
        <w:shd w:val="clear" w:color="auto" w:fill="FFFFFF"/>
        <w:spacing w:before="120" w:after="0" w:line="360" w:lineRule="auto"/>
        <w:jc w:val="both"/>
        <w:rPr>
          <w:rFonts w:eastAsia="Times New Roman" w:cs="Times New Roman"/>
          <w:color w:val="000000"/>
          <w:sz w:val="24"/>
          <w:szCs w:val="24"/>
        </w:rPr>
      </w:pPr>
      <w:r w:rsidRPr="00A9358F">
        <w:rPr>
          <w:rFonts w:eastAsia="Times New Roman" w:cs="Times New Roman"/>
          <w:color w:val="000000"/>
          <w:sz w:val="24"/>
          <w:szCs w:val="24"/>
        </w:rPr>
        <w:t>1. Quyết định này có hiệu lực thi hành kể từ ngày 20 tháng 6 năm 2013.</w:t>
      </w:r>
    </w:p>
    <w:p w:rsidR="002C3469" w:rsidRPr="00A9358F" w:rsidRDefault="002C3469" w:rsidP="00A9358F">
      <w:pPr>
        <w:shd w:val="clear" w:color="auto" w:fill="FFFFFF"/>
        <w:spacing w:before="120" w:after="0" w:line="360" w:lineRule="auto"/>
        <w:jc w:val="both"/>
        <w:rPr>
          <w:rFonts w:eastAsia="Times New Roman" w:cs="Times New Roman"/>
          <w:color w:val="000000"/>
          <w:sz w:val="24"/>
          <w:szCs w:val="24"/>
        </w:rPr>
      </w:pPr>
      <w:r w:rsidRPr="00A9358F">
        <w:rPr>
          <w:rFonts w:eastAsia="Times New Roman" w:cs="Times New Roman"/>
          <w:color w:val="000000"/>
          <w:sz w:val="24"/>
          <w:szCs w:val="24"/>
        </w:rPr>
        <w:t>2. Các Bộ trưởng, Thủ trưởng cơ quan ngang Bộ, Thủ trưởng cơ quan thuộc Chính phủ, Ủy ban nhân dân các tỉnh, thành phố trực thuộc Trung ương và các cơ quan, đơn vị có liên quan chịu trách nhiệm thi hành Quyết định này./</w:t>
      </w:r>
    </w:p>
    <w:p w:rsidR="003C3FB5" w:rsidRPr="00A9358F" w:rsidRDefault="003C3FB5" w:rsidP="00A9358F">
      <w:pPr>
        <w:spacing w:line="360" w:lineRule="auto"/>
        <w:rPr>
          <w:rFonts w:cs="Times New Roman"/>
          <w:sz w:val="24"/>
          <w:szCs w:val="24"/>
        </w:rPr>
      </w:pPr>
    </w:p>
    <w:sectPr w:rsidR="003C3FB5" w:rsidRPr="00A9358F" w:rsidSect="00A935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B3" w:rsidRDefault="00EC3DB3" w:rsidP="002C3469">
      <w:pPr>
        <w:spacing w:after="0" w:line="240" w:lineRule="auto"/>
      </w:pPr>
      <w:r>
        <w:separator/>
      </w:r>
    </w:p>
  </w:endnote>
  <w:endnote w:type="continuationSeparator" w:id="0">
    <w:p w:rsidR="00EC3DB3" w:rsidRDefault="00EC3DB3" w:rsidP="002C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89" w:rsidRDefault="007A2E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8F" w:rsidRPr="00A9358F" w:rsidRDefault="00A9358F" w:rsidP="00A9358F">
    <w:pPr>
      <w:pStyle w:val="Footer"/>
      <w:rPr>
        <w:sz w:val="24"/>
        <w:szCs w:val="24"/>
      </w:rPr>
    </w:pPr>
    <w:r w:rsidRPr="00A9358F">
      <w:rPr>
        <w:b/>
        <w:color w:val="FF0000"/>
        <w:sz w:val="24"/>
        <w:szCs w:val="24"/>
      </w:rPr>
      <w:t>TỔNG ĐÀI TƯ VẤN PHÁP LUẬT TRỰC TUYẾN 24/7: 1900.6568 – 1900.6586</w:t>
    </w:r>
  </w:p>
  <w:p w:rsidR="00A9358F" w:rsidRPr="00A9358F" w:rsidRDefault="00A9358F" w:rsidP="00A9358F">
    <w:pPr>
      <w:pStyle w:val="Footer"/>
      <w:rPr>
        <w:sz w:val="24"/>
        <w:szCs w:val="24"/>
      </w:rPr>
    </w:pPr>
  </w:p>
  <w:p w:rsidR="002C3469" w:rsidRPr="00A9358F" w:rsidRDefault="002C3469" w:rsidP="00A9358F">
    <w:pPr>
      <w:pStyle w:val="Footer"/>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89" w:rsidRDefault="007A2E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B3" w:rsidRDefault="00EC3DB3" w:rsidP="002C3469">
      <w:pPr>
        <w:spacing w:after="0" w:line="240" w:lineRule="auto"/>
      </w:pPr>
      <w:r>
        <w:separator/>
      </w:r>
    </w:p>
  </w:footnote>
  <w:footnote w:type="continuationSeparator" w:id="0">
    <w:p w:rsidR="00EC3DB3" w:rsidRDefault="00EC3DB3" w:rsidP="002C3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89" w:rsidRDefault="007A2E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9358F" w:rsidRPr="00A67571" w:rsidTr="004141DA">
      <w:trPr>
        <w:trHeight w:val="1208"/>
      </w:trPr>
      <w:tc>
        <w:tcPr>
          <w:tcW w:w="2411" w:type="dxa"/>
          <w:tcBorders>
            <w:top w:val="nil"/>
            <w:left w:val="nil"/>
            <w:bottom w:val="single" w:sz="4" w:space="0" w:color="auto"/>
            <w:right w:val="nil"/>
          </w:tcBorders>
          <w:vAlign w:val="center"/>
          <w:hideMark/>
        </w:tcPr>
        <w:p w:rsidR="00A9358F" w:rsidRPr="00A67571" w:rsidRDefault="00A9358F" w:rsidP="004141DA">
          <w:pPr>
            <w:rPr>
              <w:b/>
              <w:sz w:val="20"/>
            </w:rPr>
          </w:pPr>
          <w:r w:rsidRPr="00A67571">
            <w:rPr>
              <w:b/>
              <w:sz w:val="20"/>
            </w:rPr>
            <w:t xml:space="preserve">        </w:t>
          </w:r>
          <w:r>
            <w:rPr>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7A2E89" w:rsidRDefault="007A2E89" w:rsidP="007A2E89">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A2E89" w:rsidRDefault="007A2E89" w:rsidP="007A2E89">
          <w:pPr>
            <w:rPr>
              <w:sz w:val="20"/>
            </w:rPr>
          </w:pPr>
          <w:r>
            <w:rPr>
              <w:sz w:val="20"/>
            </w:rPr>
            <w:t>89 To Vinh Dien Street, Thanh Xuan District, Hanoi City, Viet Nam</w:t>
          </w:r>
        </w:p>
        <w:p w:rsidR="007A2E89" w:rsidRDefault="007A2E89" w:rsidP="007A2E89">
          <w:pPr>
            <w:rPr>
              <w:sz w:val="20"/>
            </w:rPr>
          </w:pPr>
          <w:r>
            <w:rPr>
              <w:sz w:val="20"/>
            </w:rPr>
            <w:t>Tel:   1900.6568        Fax: 024.73.000.111</w:t>
          </w:r>
        </w:p>
        <w:p w:rsidR="00A9358F" w:rsidRPr="00A67571" w:rsidRDefault="007A2E89" w:rsidP="007A2E89">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A9358F" w:rsidRPr="00A67571" w:rsidRDefault="00A9358F" w:rsidP="00A9358F">
    <w:pPr>
      <w:pStyle w:val="Header"/>
    </w:pPr>
  </w:p>
  <w:p w:rsidR="00A9358F" w:rsidRPr="00C5784A" w:rsidRDefault="00A9358F" w:rsidP="00A9358F">
    <w:pPr>
      <w:pStyle w:val="Header"/>
    </w:pPr>
  </w:p>
  <w:p w:rsidR="002C3469" w:rsidRPr="00A9358F" w:rsidRDefault="002C3469" w:rsidP="00A9358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89" w:rsidRDefault="007A2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3469"/>
    <w:rsid w:val="00096BB6"/>
    <w:rsid w:val="002C3469"/>
    <w:rsid w:val="003C3FB5"/>
    <w:rsid w:val="00590958"/>
    <w:rsid w:val="007A2E89"/>
    <w:rsid w:val="008A0FEE"/>
    <w:rsid w:val="00A9358F"/>
    <w:rsid w:val="00EC3DB3"/>
    <w:rsid w:val="00FB72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40BB9-D126-41DC-B8B4-789625C7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6">
    <w:name w:val="heading 6"/>
    <w:basedOn w:val="Normal"/>
    <w:next w:val="Normal"/>
    <w:link w:val="Heading6Char"/>
    <w:unhideWhenUsed/>
    <w:qFormat/>
    <w:rsid w:val="002C3469"/>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6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2C3469"/>
  </w:style>
  <w:style w:type="paragraph" w:styleId="Header">
    <w:name w:val="header"/>
    <w:basedOn w:val="Normal"/>
    <w:link w:val="HeaderChar"/>
    <w:unhideWhenUsed/>
    <w:rsid w:val="002C3469"/>
    <w:pPr>
      <w:tabs>
        <w:tab w:val="center" w:pos="4680"/>
        <w:tab w:val="right" w:pos="9360"/>
      </w:tabs>
      <w:spacing w:after="0" w:line="240" w:lineRule="auto"/>
    </w:pPr>
  </w:style>
  <w:style w:type="character" w:customStyle="1" w:styleId="HeaderChar">
    <w:name w:val="Header Char"/>
    <w:basedOn w:val="DefaultParagraphFont"/>
    <w:link w:val="Header"/>
    <w:rsid w:val="002C3469"/>
  </w:style>
  <w:style w:type="paragraph" w:styleId="Footer">
    <w:name w:val="footer"/>
    <w:basedOn w:val="Normal"/>
    <w:link w:val="FooterChar"/>
    <w:uiPriority w:val="99"/>
    <w:unhideWhenUsed/>
    <w:rsid w:val="002C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69"/>
  </w:style>
  <w:style w:type="character" w:customStyle="1" w:styleId="Heading6Char">
    <w:name w:val="Heading 6 Char"/>
    <w:basedOn w:val="DefaultParagraphFont"/>
    <w:link w:val="Heading6"/>
    <w:rsid w:val="002C3469"/>
    <w:rPr>
      <w:rFonts w:ascii="Calibri" w:eastAsia="Times New Roman" w:hAnsi="Calibri" w:cs="Times New Roman"/>
      <w:b/>
      <w:bCs/>
      <w:sz w:val="22"/>
    </w:rPr>
  </w:style>
  <w:style w:type="character" w:styleId="Hyperlink">
    <w:name w:val="Hyperlink"/>
    <w:basedOn w:val="DefaultParagraphFont"/>
    <w:rsid w:val="002C3469"/>
    <w:rPr>
      <w:color w:val="000080"/>
      <w:u w:val="single"/>
    </w:rPr>
  </w:style>
  <w:style w:type="paragraph" w:styleId="BalloonText">
    <w:name w:val="Balloon Text"/>
    <w:basedOn w:val="Normal"/>
    <w:link w:val="BalloonTextChar"/>
    <w:uiPriority w:val="99"/>
    <w:semiHidden/>
    <w:unhideWhenUsed/>
    <w:rsid w:val="002C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29595">
      <w:bodyDiv w:val="1"/>
      <w:marLeft w:val="0"/>
      <w:marRight w:val="0"/>
      <w:marTop w:val="0"/>
      <w:marBottom w:val="0"/>
      <w:divBdr>
        <w:top w:val="none" w:sz="0" w:space="0" w:color="auto"/>
        <w:left w:val="none" w:sz="0" w:space="0" w:color="auto"/>
        <w:bottom w:val="none" w:sz="0" w:space="0" w:color="auto"/>
        <w:right w:val="none" w:sz="0" w:space="0" w:color="auto"/>
      </w:divBdr>
    </w:div>
    <w:div w:id="20437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2014-09-27T02:20:00Z</dcterms:created>
  <dcterms:modified xsi:type="dcterms:W3CDTF">2020-08-27T08:51:00Z</dcterms:modified>
</cp:coreProperties>
</file>