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5168"/>
      </w:tblGrid>
      <w:tr w:rsidR="00103C5C" w:rsidRPr="00103C5C" w:rsidTr="00103C5C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CHÍNH PHỦ</w:t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- Tự do 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</w:t>
            </w:r>
          </w:p>
        </w:tc>
      </w:tr>
      <w:tr w:rsidR="00103C5C" w:rsidRPr="00103C5C" w:rsidTr="00103C5C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Số: 80/2008/NĐ-CP</w:t>
            </w:r>
          </w:p>
        </w:tc>
        <w:tc>
          <w:tcPr>
            <w:tcW w:w="5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Hà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Nội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 xml:space="preserve"> 29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tháng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 xml:space="preserve"> 07 năm 2008</w:t>
            </w:r>
          </w:p>
        </w:tc>
      </w:tr>
    </w:tbl>
    <w:p w:rsidR="00103C5C" w:rsidRPr="00103C5C" w:rsidRDefault="00103C5C" w:rsidP="00103C5C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103C5C" w:rsidRPr="00103C5C" w:rsidRDefault="00103C5C" w:rsidP="00103C5C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NGHỊ ĐỊNH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SỬA ĐỔI, BỔ SUNG MỘT SỐ ĐIỀU CỦA NGHỊ ĐỊNH SỐ 176/1999/NĐ-CP NGÀY 21 THÁNG 12 NĂM 1999 VÀ NGHỊ ĐỊNH SỐ 47/2003/NĐ-CP NGÀY 12 THÁNG 5 NĂM 2003 CỦA CHÍNH PHỦ VỀ LỆ PHÍ TRƯỚC BẠ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CHÍNH PHỦ</w:t>
      </w:r>
    </w:p>
    <w:p w:rsid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Căn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cứ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Luật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Tổ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chức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Chính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phủ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ngày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25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tháng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12 năm 2001;</w:t>
      </w:r>
    </w:p>
    <w:p w:rsid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Căn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cứ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Pháp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lệnh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và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l</w:t>
      </w:r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ệ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phí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ngày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28 </w:t>
      </w:r>
      <w:proofErr w:type="spellStart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tháng</w:t>
      </w:r>
      <w:proofErr w:type="spellEnd"/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8 năm 2001;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Xét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đề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Bộ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trưởng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Bộ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,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NGHỊ ĐỊNH: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 xml:space="preserve"> 1.</w:t>
      </w: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đổi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sung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một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176/1999/NĐ-CP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năm 1999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47/2003/NĐ-CP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 năm 2003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như sau: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khoan_1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1. Bổ sung thêm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3a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vào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sau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3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bookmarkEnd w:id="0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176/1999/NĐ-CP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năm 1999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như sau: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“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3a.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Miễn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: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hộ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nghèo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;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dân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thiểu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phường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trấn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vùng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khăn; phương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tiện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thủy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(bao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gồm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) không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động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trọng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tải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toàn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phần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đến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15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tấn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hoặc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phương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tiện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động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công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suất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đến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15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hoặc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phương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tiện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đến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.”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khoan_2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2.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Sửa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đổi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bổ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sung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bookmarkEnd w:id="1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47/2003/NĐ-CP  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 năm 2003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việc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đổi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sung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6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176/1999/NĐ-CP 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năm 1999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như sau: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“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6. Tỷ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(%)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như sau: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1.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0,5%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2.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thuyền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1%. Riêng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đánh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bờ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0,5%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 xml:space="preserve">3. Ô tô, xe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súng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săn,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súng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thao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2%. Riêng: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a) Xe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nhân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Trung ương,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tỉnh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nơi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Ủy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ban nhân dân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tỉnh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đóng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trụ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lần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đầu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5%.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b)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điểm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sau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chuyển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giao cho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nhân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bàn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áp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dụng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thấp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hơn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thì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1%.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Trường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hợp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trên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kê khai,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thấp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hơn 5%, sau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chuyển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giao cho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nhân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bàn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điểm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thì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5%.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c)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máy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lần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thứ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đi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áp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dụng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1%,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những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trường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hợp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điểm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b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d) Ô tô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dưới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chỗ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ngồi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xe)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10%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đến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15%. Căn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cứ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điểm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Hội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nhân dân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tỉnh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Trung ương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quyết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cụ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tỷ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ô tô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dưới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chỗ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ngồi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xe) cho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phù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hợp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kiện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tế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phương.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4.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khoản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1, 2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3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đa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500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triệu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/ 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ô tô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dưới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chỗ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ngồi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xe). Riêng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xưởng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xuất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kinh doanh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chung cho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xưởng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trong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cùng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một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khuôn viên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sản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xuất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, kinh doanh”.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2" w:name="dieu_2"/>
      <w:proofErr w:type="spellStart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96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96"/>
          <w:lang w:eastAsia="vi-VN"/>
        </w:rPr>
        <w:t xml:space="preserve"> 2.</w:t>
      </w: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hiệu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lực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thi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sau 15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kể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từ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 xml:space="preserve"> đăng Công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báo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96"/>
          <w:lang w:eastAsia="vi-VN"/>
        </w:rPr>
        <w:t>.</w:t>
      </w:r>
      <w:bookmarkEnd w:id="2"/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1.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Bãi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bỏ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47/2003/NĐ-CP  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5 năm 2003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việc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đổi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bổ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sung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6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176/1999/NĐ-CP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21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tháng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12 năm 1999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của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về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2.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trường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hợp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quan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thẩm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quyền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cấp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giấy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chứng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nhận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quyền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dụng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đất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hoặc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giấy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chứng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nhận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quyền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sở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hữu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ở nhưng chưa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hoặc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chưa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thì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được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theo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3. Kể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từ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có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hiệu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với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ô tô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chở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người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dưới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chỗ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ngồi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(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cả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xe)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áp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dụng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lệ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phí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trước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bạ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là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10% cho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đến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khi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Hội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đồng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nhân dân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tỉnh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Trung ương ban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mức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thu theo quy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tại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03C5C" w:rsidRPr="00103C5C" w:rsidRDefault="00103C5C" w:rsidP="00103C5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3" w:name="dieu_3"/>
      <w:proofErr w:type="spellStart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Điều</w:t>
      </w:r>
      <w:proofErr w:type="spellEnd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 xml:space="preserve"> 3.</w:t>
      </w: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 Bộ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Tài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hướng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dẫn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  <w:bookmarkEnd w:id="3"/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proofErr w:type="spellStart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lastRenderedPageBreak/>
        <w:t>Điều</w:t>
      </w:r>
      <w:proofErr w:type="spellEnd"/>
      <w:r w:rsidRPr="00103C5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 xml:space="preserve"> 4.</w:t>
      </w: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Bộ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trưởng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trưởng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quan ngang Bộ,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trưởng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cơ quan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Chính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Chủ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tịch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Ủy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ban nhân dân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tỉnh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,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phố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trực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thuộc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Trung ương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chịu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trách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nhiệm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thi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hành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Nghị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định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 </w:t>
      </w:r>
      <w:proofErr w:type="spellStart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này</w:t>
      </w:r>
      <w:proofErr w:type="spellEnd"/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103C5C" w:rsidRPr="00103C5C" w:rsidRDefault="00103C5C" w:rsidP="00103C5C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103C5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8"/>
        <w:gridCol w:w="4438"/>
      </w:tblGrid>
      <w:tr w:rsidR="00103C5C" w:rsidRPr="00103C5C" w:rsidTr="00103C5C">
        <w:trPr>
          <w:tblCellSpacing w:w="0" w:type="dxa"/>
        </w:trPr>
        <w:tc>
          <w:tcPr>
            <w:tcW w:w="4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  <w:p w:rsidR="00103C5C" w:rsidRPr="00103C5C" w:rsidRDefault="00103C5C" w:rsidP="00103C5C">
            <w:pPr>
              <w:spacing w:after="120"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 xml:space="preserve">Nơi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nhận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:</w:t>
            </w:r>
            <w:r w:rsidRPr="00103C5C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- Ban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Bí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thư Trung ương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Đảng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Thủ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tướng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Phó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Thủ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tướng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phủ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Bộ, cơ quan ngang Bộ, cơ quan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thuộc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phủ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VP BCĐ TW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về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chống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tham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nhũng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HĐND, UBND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tỉnh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thành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phố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trực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thuộc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TW;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Văn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Trung ương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ban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Đảng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Văn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Chủ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tịch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đồng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Dân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tộc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Ủy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ban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Văn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phòng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Toà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án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nhân dân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tối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cao;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Viện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kiểm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sát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nhân dân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tối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cao;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Kiểm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toán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Nhà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nước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BQL KKTCKQT Bờ Y;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Ngân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hàng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Chính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sách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Xã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hội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Ngân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hàng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Phát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triển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Việt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Nam;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UBTW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Mặt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trận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Tổ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quốc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Việt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Nam;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Cơ quan Trung ương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đoàn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thể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 xml:space="preserve">- VPCP: BTCN,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PCN,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Vụ,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Cục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, đơn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vị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trực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thuộc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, Công </w:t>
            </w:r>
            <w:proofErr w:type="spellStart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báo</w:t>
            </w:r>
            <w:proofErr w:type="spellEnd"/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;</w:t>
            </w:r>
            <w:r w:rsidRPr="00103C5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br/>
              <w:t>- Lưu: Văn thư, KTTH (5b).</w:t>
            </w:r>
          </w:p>
        </w:tc>
        <w:tc>
          <w:tcPr>
            <w:tcW w:w="4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C" w:rsidRPr="00103C5C" w:rsidRDefault="00103C5C" w:rsidP="00103C5C">
            <w:pPr>
              <w:spacing w:after="120"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TM. CHÍNH PHỦ</w:t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THỦ TƯỚNG</w:t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103C5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br/>
              <w:t>Ngu</w:t>
            </w:r>
          </w:p>
        </w:tc>
      </w:tr>
    </w:tbl>
    <w:p w:rsidR="004748A0" w:rsidRPr="00103C5C" w:rsidRDefault="004748A0" w:rsidP="00103C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748A0" w:rsidRPr="00103C5C" w:rsidSect="002C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C5C"/>
    <w:rsid w:val="00103C5C"/>
    <w:rsid w:val="002C4908"/>
    <w:rsid w:val="004748A0"/>
    <w:rsid w:val="00776249"/>
    <w:rsid w:val="00E0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2C4908"/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unWeb">
    <w:name w:val="Normal (Web)"/>
    <w:basedOn w:val="Chun"/>
    <w:uiPriority w:val="99"/>
    <w:unhideWhenUsed/>
    <w:rsid w:val="0010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Phngmcnhcaonvn"/>
    <w:rsid w:val="00103C5C"/>
  </w:style>
  <w:style w:type="character" w:styleId="Siunikt">
    <w:name w:val="Hyperlink"/>
    <w:basedOn w:val="Phngmcnhcaonvn"/>
    <w:uiPriority w:val="99"/>
    <w:semiHidden/>
    <w:unhideWhenUsed/>
    <w:rsid w:val="00103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719</Words>
  <Characters>4104</Characters>
  <Application>Microsoft Office Word</Application>
  <DocSecurity>0</DocSecurity>
  <Lines>34</Lines>
  <Paragraphs>9</Paragraphs>
  <ScaleCrop>false</ScaleCrop>
  <Company>Grizli777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Ghost</dc:creator>
  <cp:lastModifiedBy>Black Ghost</cp:lastModifiedBy>
  <cp:revision>1</cp:revision>
  <dcterms:created xsi:type="dcterms:W3CDTF">2015-09-07T01:55:00Z</dcterms:created>
  <dcterms:modified xsi:type="dcterms:W3CDTF">2015-09-07T02:04:00Z</dcterms:modified>
</cp:coreProperties>
</file>