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376"/>
        <w:gridCol w:w="519"/>
        <w:gridCol w:w="5893"/>
      </w:tblGrid>
      <w:tr w:rsidR="00554681" w:rsidRPr="00554681" w:rsidTr="001A5CDA">
        <w:trPr>
          <w:trHeight w:val="1815"/>
          <w:tblCellSpacing w:w="15" w:type="dxa"/>
        </w:trPr>
        <w:tc>
          <w:tcPr>
            <w:tcW w:w="1712" w:type="pct"/>
            <w:shd w:val="clear" w:color="auto" w:fill="F9FAFC"/>
            <w:hideMark/>
          </w:tcPr>
          <w:p w:rsidR="00554681" w:rsidRPr="00554681" w:rsidRDefault="00554681" w:rsidP="00885356">
            <w:pPr>
              <w:spacing w:after="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CHÍNH PHỦ</w:t>
            </w:r>
          </w:p>
          <w:p w:rsidR="00554681" w:rsidRPr="00554681" w:rsidRDefault="00554681" w:rsidP="00885356">
            <w:pPr>
              <w:spacing w:after="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Số: 66/2002/NĐ-CP</w:t>
            </w:r>
          </w:p>
        </w:tc>
        <w:tc>
          <w:tcPr>
            <w:tcW w:w="251" w:type="pct"/>
            <w:shd w:val="clear" w:color="auto" w:fill="F9FAFC"/>
            <w:vAlign w:val="center"/>
            <w:hideMark/>
          </w:tcPr>
          <w:p w:rsidR="00554681" w:rsidRPr="00554681" w:rsidRDefault="00554681" w:rsidP="00885356">
            <w:pPr>
              <w:spacing w:after="0" w:line="360" w:lineRule="auto"/>
              <w:jc w:val="center"/>
              <w:rPr>
                <w:rFonts w:ascii="Times New Roman" w:eastAsia="Times New Roman" w:hAnsi="Times New Roman" w:cs="Times New Roman"/>
                <w:color w:val="222222"/>
                <w:sz w:val="28"/>
                <w:szCs w:val="28"/>
              </w:rPr>
            </w:pPr>
          </w:p>
        </w:tc>
        <w:tc>
          <w:tcPr>
            <w:tcW w:w="2976" w:type="pct"/>
            <w:shd w:val="clear" w:color="auto" w:fill="F9FAFC"/>
            <w:hideMark/>
          </w:tcPr>
          <w:p w:rsidR="00554681" w:rsidRPr="00554681" w:rsidRDefault="00554681" w:rsidP="00885356">
            <w:pPr>
              <w:spacing w:after="0" w:line="360" w:lineRule="auto"/>
              <w:jc w:val="center"/>
              <w:rPr>
                <w:rFonts w:ascii="Times New Roman" w:eastAsia="Times New Roman" w:hAnsi="Times New Roman" w:cs="Times New Roman"/>
                <w:color w:val="222222"/>
                <w:sz w:val="24"/>
                <w:szCs w:val="24"/>
              </w:rPr>
            </w:pPr>
            <w:r w:rsidRPr="00554681">
              <w:rPr>
                <w:rFonts w:ascii="Times New Roman" w:eastAsia="Times New Roman" w:hAnsi="Times New Roman" w:cs="Times New Roman"/>
                <w:b/>
                <w:bCs/>
                <w:color w:val="222222"/>
                <w:sz w:val="24"/>
                <w:szCs w:val="24"/>
              </w:rPr>
              <w:t>CỘNG HOÀ XÃ HỘI CHỦ NGHĨA VIỆT NAM</w:t>
            </w:r>
          </w:p>
          <w:p w:rsidR="00554681" w:rsidRPr="00554681" w:rsidRDefault="00554681" w:rsidP="00885356">
            <w:pPr>
              <w:spacing w:after="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Độc lập - Tự do - Hạnh phúc</w:t>
            </w:r>
          </w:p>
          <w:p w:rsidR="00554681" w:rsidRPr="00554681" w:rsidRDefault="00554681" w:rsidP="00885356">
            <w:pPr>
              <w:jc w:val="center"/>
              <w:rPr>
                <w:rFonts w:ascii="Times New Roman" w:hAnsi="Times New Roman" w:cs="Times New Roman"/>
                <w:i/>
              </w:rPr>
            </w:pPr>
            <w:r w:rsidRPr="00554681">
              <w:rPr>
                <w:rFonts w:ascii="Times New Roman" w:hAnsi="Times New Roman" w:cs="Times New Roman"/>
                <w:i/>
              </w:rPr>
              <w:t>Hà Nội, ngày 01 tháng 07 năm 2002</w:t>
            </w:r>
          </w:p>
        </w:tc>
      </w:tr>
      <w:tr w:rsidR="00554681" w:rsidRPr="00554681" w:rsidTr="001A5CDA">
        <w:trPr>
          <w:trHeight w:val="143"/>
          <w:tblCellSpacing w:w="15" w:type="dxa"/>
        </w:trPr>
        <w:tc>
          <w:tcPr>
            <w:tcW w:w="4969" w:type="pct"/>
            <w:gridSpan w:val="3"/>
            <w:shd w:val="clear" w:color="auto" w:fill="F9FAFC"/>
            <w:vAlign w:val="center"/>
            <w:hideMark/>
          </w:tcPr>
          <w:p w:rsidR="00554681" w:rsidRPr="00554681" w:rsidRDefault="00554681" w:rsidP="00554681">
            <w:pPr>
              <w:spacing w:after="0" w:line="360" w:lineRule="auto"/>
              <w:jc w:val="both"/>
              <w:rPr>
                <w:rFonts w:ascii="Times New Roman" w:eastAsia="Times New Roman" w:hAnsi="Times New Roman" w:cs="Times New Roman"/>
                <w:color w:val="222222"/>
                <w:sz w:val="28"/>
                <w:szCs w:val="28"/>
              </w:rPr>
            </w:pPr>
          </w:p>
        </w:tc>
      </w:tr>
      <w:tr w:rsidR="00554681" w:rsidRPr="00554681" w:rsidTr="001A5CDA">
        <w:trPr>
          <w:trHeight w:val="143"/>
          <w:tblCellSpacing w:w="15" w:type="dxa"/>
        </w:trPr>
        <w:tc>
          <w:tcPr>
            <w:tcW w:w="4969" w:type="pct"/>
            <w:gridSpan w:val="3"/>
            <w:shd w:val="clear" w:color="auto" w:fill="F9FAFC"/>
            <w:vAlign w:val="center"/>
            <w:hideMark/>
          </w:tcPr>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NGHỊ ĐỊNH CỦA CHÍNH PHỦ</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i/>
                <w:iCs/>
                <w:color w:val="222222"/>
                <w:sz w:val="28"/>
                <w:szCs w:val="28"/>
              </w:rPr>
              <w:t>Quy định về định mức hành lý của người xuất cảnh, nhậpcảnh</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i/>
                <w:iCs/>
                <w:color w:val="222222"/>
                <w:sz w:val="28"/>
                <w:szCs w:val="28"/>
              </w:rPr>
              <w:t>và quà biếu, tặng nhập khẩu được miễn thuế</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 </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CHÍNH PHỦ</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i/>
                <w:iCs/>
                <w:color w:val="222222"/>
                <w:sz w:val="28"/>
                <w:szCs w:val="28"/>
              </w:rPr>
              <w:t>Căn cứ Luật Tổ chức Chính phủ ngày 25 tháng 12 năm 2001;</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i/>
                <w:iCs/>
                <w:color w:val="222222"/>
                <w:sz w:val="28"/>
                <w:szCs w:val="28"/>
              </w:rPr>
              <w:t>Căn cứ Luật Thuế xuất khẩu, thuế nhập khẩu ngày 26 tháng 12 năm1991; Luật sửa đổi, bổ sung một số điều của Luật Thuế xuất khẩu, thuế nhập khẩungày 05 tháng 7 năm 1993; Luật sửa đổi, bổ sung một số điều của Luật Thuế xuấtkhẩu, thuế nhập khẩu số 04/1998/QH10 ngày 20 tháng 5 năm 1998;</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i/>
                <w:iCs/>
                <w:color w:val="222222"/>
                <w:sz w:val="28"/>
                <w:szCs w:val="28"/>
              </w:rPr>
              <w:t>Căn cứ Luật Hải quan số 29/2001-QH10 ngày 29 tháng 6 năm 2001;</w:t>
            </w:r>
          </w:p>
          <w:p w:rsidR="00554681" w:rsidRDefault="00554681" w:rsidP="00554681">
            <w:pPr>
              <w:spacing w:before="120" w:after="120" w:line="360" w:lineRule="auto"/>
              <w:jc w:val="both"/>
              <w:rPr>
                <w:rFonts w:ascii="Times New Roman" w:eastAsia="Times New Roman" w:hAnsi="Times New Roman" w:cs="Times New Roman"/>
                <w:i/>
                <w:iCs/>
                <w:color w:val="222222"/>
                <w:sz w:val="28"/>
                <w:szCs w:val="28"/>
              </w:rPr>
            </w:pPr>
            <w:r w:rsidRPr="00554681">
              <w:rPr>
                <w:rFonts w:ascii="Times New Roman" w:eastAsia="Times New Roman" w:hAnsi="Times New Roman" w:cs="Times New Roman"/>
                <w:i/>
                <w:iCs/>
                <w:color w:val="222222"/>
                <w:sz w:val="28"/>
                <w:szCs w:val="28"/>
              </w:rPr>
              <w:t>Theo đề nghị của Tổng cục trưởng Tổng cục Hải quan,</w:t>
            </w:r>
          </w:p>
          <w:p w:rsidR="00554681" w:rsidRDefault="00554681" w:rsidP="00554681">
            <w:pPr>
              <w:spacing w:before="120" w:after="120" w:line="360" w:lineRule="auto"/>
              <w:jc w:val="both"/>
              <w:rPr>
                <w:rFonts w:ascii="Times New Roman" w:eastAsia="Times New Roman" w:hAnsi="Times New Roman" w:cs="Times New Roman"/>
                <w:i/>
                <w:iCs/>
                <w:color w:val="222222"/>
                <w:sz w:val="28"/>
                <w:szCs w:val="28"/>
              </w:rPr>
            </w:pP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 </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NGHỊ ĐỊNH:</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Chương I</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ĐỊNH MỨC HÀNH LÝ ĐƯỢC MIỄN THUẾ</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CỦA NGƯỜI XUẤT CẢNH, NHẬP CẢNH QUA CỬA KHẨU VIỆT NAM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1. </w:t>
            </w:r>
            <w:r w:rsidRPr="00554681">
              <w:rPr>
                <w:rFonts w:ascii="Times New Roman" w:eastAsia="Times New Roman" w:hAnsi="Times New Roman" w:cs="Times New Roman"/>
                <w:color w:val="222222"/>
                <w:sz w:val="28"/>
                <w:szCs w:val="28"/>
              </w:rPr>
              <w:t>Banhành kèm theo Nghị định này định mức hành lý được miễn thuế của người xuấtcảnh, nhập cảnh qua các cửa khẩu quốc tế Việt Nam bằng hộ chiếu do cơ quan nhànước có thẩm quyền của Việt Nam hoặc của nước ngoài cấp.</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2.</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1.Hành lý của người xuất cảnh, nhập cảnh bằng giấy thông hành, chứng minh thưbiên giới không thuộc phạm vi điều chỉnh của Nghị định này.</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2.Người xuất cảnh, nhập cảnh mang theo ngoại tệ, vàng, đá quý thực hiện theo quyđịnh của pháp luật về ngân hàng.</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3.Trường hợp điều ước quốc tế mà Việt Nam ký kết hoặc tham gia có quy định khácNghị định này thì thực hiện theo quy định tại điều ước quốc tế đó.</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3.</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 xml:space="preserve">1.Hành lý của người nhập cảnh là vật dụng cần thiết cho nhu cầu sinh hoạt hoặcmục đích chuyến đi của người nhập cảnh, bao gồm hành lý mang theo người, </w:t>
            </w:r>
            <w:r w:rsidRPr="00554681">
              <w:rPr>
                <w:rFonts w:ascii="Times New Roman" w:eastAsia="Times New Roman" w:hAnsi="Times New Roman" w:cs="Times New Roman"/>
                <w:color w:val="222222"/>
                <w:sz w:val="28"/>
                <w:szCs w:val="28"/>
              </w:rPr>
              <w:lastRenderedPageBreak/>
              <w:t>hànhlý gửi trước hoặc gửi sau chuyến đi.</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2.Thời hạn nhận hành lý gửi trước hoặc gửi sau chuyến đi của người nhập cảnh làkhông quá 30 (ba mươi) ngày, kể từ ngày hành lý về đến cửa khẩu.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4.</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1.Hành lý của người xuất cảnh, nhập cảnh được làm thủ tục hải quan tại cửa khẩu.Người xuất cảnh, nhập cảnh không phải khai hải quan trên Tờ khai nhập - xuấtcảnh Việt Nam nếu không có hành lý vượt định mức miễn thuế, không có hành lýgửi trước hoặc gửi sau chuyến đi.</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2.Người xuất cảnh, nhập cảnh được tạm gửi hành lý vào kho của Hải quan cửa khẩuvà được nhận lại khi nhập cảnh, xuất cảnh. Thời gian tạm gửi hành lý không quá180 (một trăm tám mươi) ngày, kể từ ngày hành lý được gửi vào kho của Hải quan.</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3.Trong thời hạn tạm gửi hành lý quy định tại khoản 2 Điều này, nếu người xuấtcảnh, nhập cảnh có văn bản từ bỏ hành lý tạm gửi hoặc quá thời hạn tạm gửi hànhlý nhưng người xuất cảnh, nhập cảnh không nhận lại, thì Chi cục trưởng Chi cụcHải quan cửa khẩu tổ chức thanh lý, hoặc tiêu huỷ theo quy định của pháp luậtnếu hành lý đó đã bị hư hỏng.</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Tiềnthu được từ việc thanh lý hàng hoá được nộp vào ngân sách nhà nước sau khi trừđi các chi phí phát sinh theo quy định của pháp luật.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5.</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lastRenderedPageBreak/>
              <w:t>1.Định mức hành lý miễn thuế của người nhập cảnh được quy định như sau: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a)Cho từng lần nhập cảnh;</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b)Không gộp chung định mức miễn thuế của nhiều lần nhập cảnh để tính miễn thuếmột lần nhập cảnh;</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c)Không gộp định mức hành lý miễn thuế của nhiều người nhập cảnh để giải quyết miễnthuế cho một người nhập cảnh, trừ hành lý của các cá nhân trong một gia đìnhmang theo trong cùng chuyến đi.</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2.Không hạn chế định mức hành lý của người xuất cảnh, trừ các vật phẩm nằm trongDanh mục hàng cấm xuất khẩu hoặc xuất khẩu có điều kiện theo quy định của phápluật.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6.</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1.Định mức hành lý miễn thuế của người nhập cảnh quy định tại các khoản 1, 2, 3,4, và 5 Phụ lục ban hành kèm theo Nghị định này được quy định như sau: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a)Đối với rượu, nếu người nhập cảnh mang nguyên chai, bình, lọ, can (sau đây viếttắt là chai) có dung tích lớn hơn không quá 01 (một) lít so với định mức quyđịnh thì được miễn thuế cả chai; nếu có dung tích vượt quá định mức nói trênthì phải nộp thuế cho phần vượt theo quy định của pháp luật.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 xml:space="preserve">b)Đối với thuốc lá điếu, xì gà, người nhập cảnh chỉ được mang theo đúng định mứcmiễn thuế; nếu mang vượt định mức miễn thuế thì phần vượt phải được tạm gửi tạikho của Hải quan cửa khẩu và nhận lại trong thời hạn quy định tại khoản 2 </w:t>
            </w:r>
            <w:r w:rsidRPr="00554681">
              <w:rPr>
                <w:rFonts w:ascii="Times New Roman" w:eastAsia="Times New Roman" w:hAnsi="Times New Roman" w:cs="Times New Roman"/>
                <w:color w:val="222222"/>
                <w:sz w:val="28"/>
                <w:szCs w:val="28"/>
              </w:rPr>
              <w:lastRenderedPageBreak/>
              <w:t>Điều4 Nghị định này.</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c)Đối với quần áo, đồ dùng, các vật phẩm khác phục vụ nhu cầu sinh hoạt cá nhân,người nhập cảnh được mang theo với số lượng, chủng loại hợp lý, phù hợp với mụcđích chuyến đi.</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2.Trường hợp hành lý của người nhập cảnh vượt quá định mức được miễn thuế thìphần vượt này được coi là hàng hoá nhập khẩu, phải thực hiện theo quy định củapháp luật về hàng hoá nhập khẩu, pháp luật về thuế. Người nhập cảnh được chọnvật phẩm để nộp thuế trong trường hợp hành lý mang theo gồm nhiều vật phẩm.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3.Trường hợp phần vượt định mức hành lý miễn thuế của người nhập cảnh phải nộpthuế, nhưng nếu tổng số thuế phải nộp dưới 50.000 (năm mươi nghìn) đồng ViệtNam thì cũng được miễn thuế.</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4.Người nhập cảnh dưới 18 tuổi không được hưởng định mức miễn thuế quy định tạicác khoản 1, 2, 3 Phụ lục ban hành kèm theo Nghị định này.</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7. </w:t>
            </w:r>
            <w:r w:rsidRPr="00554681">
              <w:rPr>
                <w:rFonts w:ascii="Times New Roman" w:eastAsia="Times New Roman" w:hAnsi="Times New Roman" w:cs="Times New Roman"/>
                <w:color w:val="222222"/>
                <w:sz w:val="28"/>
                <w:szCs w:val="28"/>
              </w:rPr>
              <w:t>Dụngcụ nghề nghiệp của người nhập cảnh mang theo vào Việt Nam để phục vụ cho côngviệc, thực hiện theo quy định tại Điều 17 Nghị định số 101/2001/NĐ-CP ngày 31tháng 12 năm 2001 của Chính phủ quy định chi tiết thực hiện một số điều củaLuật Hải quan về thủ tục hải quan, chế độ kiểm tra, giám sát hải quan.</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8.</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lastRenderedPageBreak/>
              <w:t>1.Người nhập cảnh thường xuyên theo tính chất công việc không được hưởng định mứchành lý miễn thuế cho từng lần nhập cảnh đối với vật phẩm quy định tại cáckhoản 1, 2, 3, 5 Phụ lục ban hành kèm theo Nghị định này, mà cứ 90 (chín mươi)ngày được hưởng định mức miễn thuế một lần.</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2.Người nhập cảnh thường xuyên theo tính chất công việc quy định tại khoản 1 Điềunày bao gồm: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a)Người điều khiển tàu bay và nhân viên phục vụ trên các chuyến bay quốc tế;</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b)Người điều khiển tàu hoả và nhân viên phục vụ trên tàu hoả liên vận quốc tế;</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c)Sĩ quan, thuyền viên làm việc trên tàu biển;</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d)Lái xe, người lao động Việt Nam làm việc ở các nước láng giềng có chung biêngiới đường bộ với Việt Nam.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 </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Chương II</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ĐỊNH MỨC QUÀ BIẾU, TẶNG NHẬP KHẨU ĐƯỢC MIỄN THUẾ</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9.</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1.Nghị định này chỉ áp dụng đối với quà biếu, tặng của tổ chức, cá nhân ở nướcngoài biếu, tặng cho cá nhân là công dân Việt Nam.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2.Các trường hợp người nhận quà biếu, tặng là tổ chức, cơ quan, doanh nghiệp ởViệt Nam được áp dụng theo các quy định khác của pháp luật.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lastRenderedPageBreak/>
              <w:t>3.Không được nhận quà biếu, tặng là hàng hoá thuộc Danh mục hàng hoá cấm nhậpkhẩu.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4.Trường hợp quà biếu, tặng vượt định mức quy định tại Điều 10 Nghị định này làmặt hàng thuộc Danh mục hàng hoá nhập khẩu có điều kiện, thì phải tuân theo cácquy định của pháp luật về quản lý chuyên ngành đối với hàng hoá đó.</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10.</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1.Quà biếu, tặng được miễn thuế trong các trường hợp sau: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a)Quà biếu, tặng có tổng trị giá không quá 1.000.000 (một triệu) đồng Việt Nam;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b)Quà biếu, tặng có tổng trị giá vượt quá 1.000.000 (một triệu) đồng Việt Nam nhưngsố thuế phải nộp dưới 50.000 (năm mươi nghìn) đồng Việt Nam.</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2.Quà biếu, tặng có tổng trị giá vượt quá định mức miễn thuế quy định tại khoản 1Điều này thì phần vượt được coi là hàng hoá nhập khẩu và phải tuân theo quyđịnh của pháp luật đối với hàng hoá nhập khẩu.</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3.Trường hợp quà biếu, tặng là thuốc cấp cứu, dụng cụ y tế được biếu, tặng cho ngườibị bệnh nặng hoặc người bị thiên tai có trị giá không quá 10.000.000 (mườitriệu) đồng Việt Nam thì được miễn các loại thuế. Giao Bộ Y tế chủ trì, phốihợp với Bộ Tài chính, thống nhất với Tổng cục Hải quan quy định cụ thể</w:t>
            </w:r>
            <w:r w:rsidRPr="00554681">
              <w:rPr>
                <w:rFonts w:ascii="Times New Roman" w:eastAsia="Times New Roman" w:hAnsi="Times New Roman" w:cs="Times New Roman"/>
                <w:i/>
                <w:iCs/>
                <w:color w:val="222222"/>
                <w:sz w:val="28"/>
                <w:szCs w:val="28"/>
              </w:rPr>
              <w: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4.Cục trưởng Cục Hải quan tỉnh, liên tỉnh, thành phố trực thuộc Trung ương chịutrách nhiệm giải quyết miễn thuế đối với quà biếu, tặng quy định tại khoản 3Điều này.</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lastRenderedPageBreak/>
              <w:t>Điều 11</w:t>
            </w:r>
            <w:r w:rsidRPr="00554681">
              <w:rPr>
                <w:rFonts w:ascii="Times New Roman" w:eastAsia="Times New Roman" w:hAnsi="Times New Roman" w:cs="Times New Roman"/>
                <w:color w:val="222222"/>
                <w:sz w:val="28"/>
                <w:szCs w:val="28"/>
              </w:rPr>
              <w:t>.Quà biếu, tặng trong định mức miễn thuế quy định tại Điều 10 Nghị định nàykhông áp dụng cho trường hợp một người hoặc nhiều người trong một gia đình thườngxuyên nhận một hay một số mặt hàng nhất định.</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 </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Chương III</w:t>
            </w:r>
          </w:p>
          <w:p w:rsidR="00554681" w:rsidRPr="00554681" w:rsidRDefault="00554681" w:rsidP="00554681">
            <w:pPr>
              <w:spacing w:before="120" w:after="120" w:line="360" w:lineRule="auto"/>
              <w:jc w:val="center"/>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XỬ LÝ VI PHẠM VÀ TỔ CHỨC THỰC HIỆN</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12</w:t>
            </w:r>
            <w:r w:rsidRPr="00554681">
              <w:rPr>
                <w:rFonts w:ascii="Times New Roman" w:eastAsia="Times New Roman" w:hAnsi="Times New Roman" w:cs="Times New Roman"/>
                <w:color w:val="222222"/>
                <w:sz w:val="28"/>
                <w:szCs w:val="28"/>
              </w:rPr>
              <w:t>.Mọi tổ chức, cá nhân có hành vi vi phạm các quy định tại Nghị định này thì tuỳtheo tính chất, mức độ vi phạm mà bị xử lý kỷ luật, xử lý vi phạm hành chính,hoặc truy cứu trách nhiệm hình sự, nếu gây thiệt hại thì phải bồi thường theoquy định của pháp luật.</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13</w:t>
            </w:r>
            <w:r w:rsidRPr="00554681">
              <w:rPr>
                <w:rFonts w:ascii="Times New Roman" w:eastAsia="Times New Roman" w:hAnsi="Times New Roman" w:cs="Times New Roman"/>
                <w:color w:val="222222"/>
                <w:sz w:val="28"/>
                <w:szCs w:val="28"/>
              </w:rPr>
              <w:t>.Nghị định này có hiệu lực thi hành sau 15 ngày, kể từ ngày ký.</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color w:val="222222"/>
                <w:sz w:val="28"/>
                <w:szCs w:val="28"/>
              </w:rPr>
              <w:t>Nghịđịnh này thay thế Nghị định số 17/CP ngày 06 tháng 02 năm 1995 của Chính phủban hành tiêu chuẩn hành lý miễn thuế của khách xuất nhập cảnh tại các cửa khẩuViệt Nam, Nghị định số 79/1998/NĐ-CP ngày 29 tháng 9 năm 1998 của Chính phủ sửađổi Nghị định số 17/CP ngày 06 tháng 02 năm 1995 của Chính phủ.</w:t>
            </w:r>
          </w:p>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r w:rsidRPr="00554681">
              <w:rPr>
                <w:rFonts w:ascii="Times New Roman" w:eastAsia="Times New Roman" w:hAnsi="Times New Roman" w:cs="Times New Roman"/>
                <w:b/>
                <w:bCs/>
                <w:color w:val="222222"/>
                <w:sz w:val="28"/>
                <w:szCs w:val="28"/>
              </w:rPr>
              <w:t>Điều 14</w:t>
            </w:r>
            <w:r w:rsidRPr="00554681">
              <w:rPr>
                <w:rFonts w:ascii="Times New Roman" w:eastAsia="Times New Roman" w:hAnsi="Times New Roman" w:cs="Times New Roman"/>
                <w:color w:val="222222"/>
                <w:sz w:val="28"/>
                <w:szCs w:val="28"/>
              </w:rPr>
              <w:t>.Các Bộ trưởng, Thủ trưởng cơ quan ngang Bộ, Thủ trưởng cơ quan thuộc Chính phủ,Chủ tịch Uỷ ban nhân dân các tỉnh, thành phố trực thuộc Trung ương chịu tráchnhiệm thi hành Nghị định này./.</w:t>
            </w:r>
          </w:p>
          <w:p w:rsidR="00554681" w:rsidRPr="002062D2" w:rsidRDefault="00554681" w:rsidP="00554681">
            <w:pPr>
              <w:spacing w:before="120" w:after="120" w:line="240" w:lineRule="auto"/>
              <w:jc w:val="center"/>
              <w:rPr>
                <w:rFonts w:ascii="Arial" w:eastAsia="Times New Roman" w:hAnsi="Arial" w:cs="Arial"/>
                <w:color w:val="222222"/>
                <w:sz w:val="18"/>
                <w:szCs w:val="18"/>
              </w:rPr>
            </w:pPr>
            <w:r w:rsidRPr="00554681">
              <w:rPr>
                <w:rFonts w:ascii="Times New Roman" w:eastAsia="Times New Roman" w:hAnsi="Times New Roman" w:cs="Times New Roman"/>
                <w:color w:val="222222"/>
                <w:sz w:val="28"/>
                <w:szCs w:val="28"/>
              </w:rPr>
              <w:t> </w:t>
            </w:r>
            <w:r w:rsidRPr="002062D2">
              <w:rPr>
                <w:rFonts w:ascii="Times New Roman" w:eastAsia="Times New Roman" w:hAnsi="Times New Roman" w:cs="Times New Roman"/>
                <w:b/>
                <w:bCs/>
                <w:color w:val="222222"/>
                <w:sz w:val="24"/>
                <w:szCs w:val="24"/>
              </w:rPr>
              <w:t>Định mức hành lý được miễn thuế</w:t>
            </w:r>
          </w:p>
          <w:p w:rsidR="00554681" w:rsidRPr="002062D2" w:rsidRDefault="00554681" w:rsidP="00554681">
            <w:pPr>
              <w:spacing w:before="120" w:after="120" w:line="240" w:lineRule="auto"/>
              <w:jc w:val="center"/>
              <w:rPr>
                <w:rFonts w:ascii="Arial" w:eastAsia="Times New Roman" w:hAnsi="Arial" w:cs="Arial"/>
                <w:color w:val="222222"/>
                <w:sz w:val="18"/>
                <w:szCs w:val="18"/>
              </w:rPr>
            </w:pPr>
            <w:r w:rsidRPr="002062D2">
              <w:rPr>
                <w:rFonts w:ascii="Times New Roman" w:eastAsia="Times New Roman" w:hAnsi="Times New Roman" w:cs="Times New Roman"/>
                <w:b/>
                <w:bCs/>
                <w:color w:val="222222"/>
                <w:sz w:val="24"/>
                <w:szCs w:val="24"/>
              </w:rPr>
              <w:t>của người nhập cảnh tại các cửa khẩu Việt Nam</w:t>
            </w:r>
          </w:p>
          <w:p w:rsidR="00554681" w:rsidRPr="002062D2" w:rsidRDefault="00554681" w:rsidP="00554681">
            <w:pPr>
              <w:spacing w:before="120" w:after="120" w:line="240" w:lineRule="auto"/>
              <w:jc w:val="center"/>
              <w:rPr>
                <w:rFonts w:ascii="Arial" w:eastAsia="Times New Roman" w:hAnsi="Arial" w:cs="Arial"/>
                <w:color w:val="222222"/>
                <w:sz w:val="18"/>
                <w:szCs w:val="18"/>
              </w:rPr>
            </w:pPr>
            <w:r w:rsidRPr="002062D2">
              <w:rPr>
                <w:rFonts w:ascii="Times New Roman" w:eastAsia="Times New Roman" w:hAnsi="Times New Roman" w:cs="Times New Roman"/>
                <w:i/>
                <w:iCs/>
                <w:color w:val="222222"/>
                <w:sz w:val="24"/>
                <w:szCs w:val="24"/>
              </w:rPr>
              <w:lastRenderedPageBreak/>
              <w:t>(Ban hành kèm theo Nghị định số 66/2002/NĐ-CP ngày 01tháng 7 năm 2002 của Chính phủ)</w:t>
            </w:r>
          </w:p>
          <w:tbl>
            <w:tblPr>
              <w:tblW w:w="926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4"/>
              <w:gridCol w:w="3051"/>
              <w:gridCol w:w="2220"/>
              <w:gridCol w:w="2687"/>
            </w:tblGrid>
            <w:tr w:rsidR="00554681" w:rsidRPr="002062D2" w:rsidTr="00554681">
              <w:trPr>
                <w:trHeight w:val="519"/>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b/>
                      <w:bCs/>
                      <w:color w:val="222222"/>
                      <w:sz w:val="24"/>
                      <w:szCs w:val="24"/>
                    </w:rPr>
                    <w:t>STT</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b/>
                      <w:bCs/>
                      <w:color w:val="222222"/>
                      <w:sz w:val="24"/>
                      <w:szCs w:val="24"/>
                    </w:rPr>
                    <w:t>Đồ dùng, vật dụng</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b/>
                      <w:bCs/>
                      <w:color w:val="222222"/>
                      <w:sz w:val="24"/>
                      <w:szCs w:val="24"/>
                    </w:rPr>
                    <w:t>định mức</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b/>
                      <w:bCs/>
                      <w:color w:val="222222"/>
                      <w:sz w:val="24"/>
                      <w:szCs w:val="24"/>
                    </w:rPr>
                    <w:t>Ghi chú</w:t>
                  </w:r>
                </w:p>
              </w:tc>
            </w:tr>
            <w:tr w:rsidR="00554681" w:rsidRPr="002062D2" w:rsidTr="00554681">
              <w:trPr>
                <w:trHeight w:val="1690"/>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1</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Rượu, đồ uống có cồn :</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Rượu từ 22 độ trở lên</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Rượu dưới 22 độ</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Đồ uống có cồn, bia</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1,5 lít</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2,0 lít</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3,0 lít</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Người dưới 18 tuổi không được hưởng tiêu chuẩn này</w:t>
                  </w:r>
                </w:p>
              </w:tc>
            </w:tr>
            <w:tr w:rsidR="00554681" w:rsidRPr="002062D2" w:rsidTr="00554681">
              <w:trPr>
                <w:trHeight w:val="1704"/>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2</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Thuốc lá:</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Thuốc lá điếu</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Xì gà</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Thuốc lá sợi</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400 điếu</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100 điếu</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500 gam</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Người dưới 18 tuổi không được hưởng tiêu chuẩn này</w:t>
                  </w:r>
                </w:p>
              </w:tc>
            </w:tr>
            <w:tr w:rsidR="00554681" w:rsidRPr="002062D2" w:rsidTr="00554681">
              <w:trPr>
                <w:trHeight w:val="1305"/>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3</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Chè, cà phê:</w:t>
                  </w:r>
                </w:p>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Chè</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Cà phê</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5 kg</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3kg</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Người dưới 18 tuổi không được hưởng tiêu chuẩn này</w:t>
                  </w:r>
                </w:p>
              </w:tc>
            </w:tr>
            <w:tr w:rsidR="00554681" w:rsidRPr="002062D2" w:rsidTr="00554681">
              <w:trPr>
                <w:trHeight w:val="1067"/>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4</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Quần áo, đồ dùng cá nhân</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Số lượng phù hợp phục vụ cho mục đích chuyến đi</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54681"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w:t>
                  </w:r>
                </w:p>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Arial" w:eastAsia="Times New Roman" w:hAnsi="Arial" w:cs="Arial"/>
                      <w:color w:val="222222"/>
                      <w:sz w:val="18"/>
                      <w:szCs w:val="18"/>
                    </w:rPr>
                    <w:t> </w:t>
                  </w:r>
                </w:p>
              </w:tc>
            </w:tr>
            <w:tr w:rsidR="00554681" w:rsidRPr="002062D2" w:rsidTr="00554681">
              <w:trPr>
                <w:trHeight w:val="1630"/>
                <w:tblCellSpacing w:w="7" w:type="dxa"/>
              </w:trPr>
              <w:tc>
                <w:tcPr>
                  <w:tcW w:w="69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5</w:t>
                  </w:r>
                </w:p>
              </w:tc>
              <w:tc>
                <w:tcPr>
                  <w:tcW w:w="16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Các vật phẩm khác ngoài danh mục 1,2,3,4 Phụ lục này (không nằm trong Danh mục hàng cấm nhập khẩu hoặc nhập khẩu có điều kiện)</w:t>
                  </w:r>
                </w:p>
              </w:tc>
              <w:tc>
                <w:tcPr>
                  <w:tcW w:w="119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Tổng trị giá không quá 5.000.000 (năm triệu) đồng Việt Nam</w:t>
                  </w:r>
                </w:p>
              </w:tc>
              <w:tc>
                <w:tcPr>
                  <w:tcW w:w="143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062D2" w:rsidRPr="002062D2" w:rsidRDefault="00554681" w:rsidP="00A31633">
                  <w:pPr>
                    <w:spacing w:before="120" w:after="120" w:line="240" w:lineRule="auto"/>
                    <w:jc w:val="both"/>
                    <w:rPr>
                      <w:rFonts w:ascii="Arial" w:eastAsia="Times New Roman" w:hAnsi="Arial" w:cs="Arial"/>
                      <w:color w:val="222222"/>
                      <w:sz w:val="18"/>
                      <w:szCs w:val="18"/>
                    </w:rPr>
                  </w:pPr>
                  <w:r w:rsidRPr="002062D2">
                    <w:rPr>
                      <w:rFonts w:ascii="Arial" w:eastAsia="Times New Roman" w:hAnsi="Arial" w:cs="Arial"/>
                      <w:color w:val="222222"/>
                      <w:sz w:val="18"/>
                      <w:szCs w:val="18"/>
                    </w:rPr>
                    <w:t> </w:t>
                  </w:r>
                </w:p>
              </w:tc>
            </w:tr>
          </w:tbl>
          <w:p w:rsidR="00554681" w:rsidRPr="002062D2" w:rsidRDefault="00554681" w:rsidP="00554681">
            <w:pPr>
              <w:spacing w:before="120" w:after="120" w:line="240" w:lineRule="auto"/>
              <w:jc w:val="both"/>
              <w:rPr>
                <w:rFonts w:ascii="Arial" w:eastAsia="Times New Roman" w:hAnsi="Arial" w:cs="Arial"/>
                <w:color w:val="222222"/>
                <w:sz w:val="18"/>
                <w:szCs w:val="18"/>
              </w:rPr>
            </w:pPr>
            <w:r w:rsidRPr="002062D2">
              <w:rPr>
                <w:rFonts w:ascii="Times New Roman" w:eastAsia="Times New Roman" w:hAnsi="Times New Roman" w:cs="Times New Roman"/>
                <w:color w:val="222222"/>
                <w:sz w:val="24"/>
                <w:szCs w:val="24"/>
              </w:rPr>
              <w:t> </w:t>
            </w:r>
          </w:p>
          <w:tbl>
            <w:tblPr>
              <w:tblpPr w:leftFromText="180" w:rightFromText="180" w:vertAnchor="text" w:horzAnchor="margin" w:tblpXSpec="right" w:tblpY="330"/>
              <w:tblOverlap w:val="never"/>
              <w:tblW w:w="1654" w:type="pct"/>
              <w:tblCellSpacing w:w="15" w:type="dxa"/>
              <w:tblCellMar>
                <w:top w:w="15" w:type="dxa"/>
                <w:left w:w="15" w:type="dxa"/>
                <w:bottom w:w="15" w:type="dxa"/>
                <w:right w:w="15" w:type="dxa"/>
              </w:tblCellMar>
              <w:tblLook w:val="04A0" w:firstRow="1" w:lastRow="0" w:firstColumn="1" w:lastColumn="0" w:noHBand="0" w:noVBand="1"/>
            </w:tblPr>
            <w:tblGrid>
              <w:gridCol w:w="3069"/>
            </w:tblGrid>
            <w:tr w:rsidR="00554681" w:rsidRPr="00554681" w:rsidTr="00554681">
              <w:trPr>
                <w:trHeight w:val="475"/>
                <w:tblCellSpacing w:w="15" w:type="dxa"/>
              </w:trPr>
              <w:tc>
                <w:tcPr>
                  <w:tcW w:w="4902" w:type="pct"/>
                  <w:vAlign w:val="center"/>
                  <w:hideMark/>
                </w:tcPr>
                <w:p w:rsidR="00554681" w:rsidRPr="00554681" w:rsidRDefault="00554681" w:rsidP="00465D4D">
                  <w:pPr>
                    <w:spacing w:after="0" w:line="360" w:lineRule="auto"/>
                    <w:jc w:val="both"/>
                    <w:rPr>
                      <w:rFonts w:ascii="Times New Roman" w:eastAsia="Times New Roman" w:hAnsi="Times New Roman" w:cs="Times New Roman"/>
                      <w:sz w:val="28"/>
                      <w:szCs w:val="28"/>
                    </w:rPr>
                  </w:pPr>
                  <w:r w:rsidRPr="00554681">
                    <w:rPr>
                      <w:rFonts w:ascii="Times New Roman" w:eastAsia="Times New Roman" w:hAnsi="Times New Roman" w:cs="Times New Roman"/>
                      <w:b/>
                      <w:bCs/>
                      <w:sz w:val="28"/>
                      <w:szCs w:val="28"/>
                    </w:rPr>
                    <w:lastRenderedPageBreak/>
                    <w:t>TM. CHÍNH PHỦ</w:t>
                  </w:r>
                </w:p>
              </w:tc>
            </w:tr>
            <w:tr w:rsidR="00554681" w:rsidRPr="00554681" w:rsidTr="00554681">
              <w:trPr>
                <w:trHeight w:val="475"/>
                <w:tblCellSpacing w:w="15" w:type="dxa"/>
              </w:trPr>
              <w:tc>
                <w:tcPr>
                  <w:tcW w:w="4902" w:type="pct"/>
                  <w:vAlign w:val="center"/>
                  <w:hideMark/>
                </w:tcPr>
                <w:p w:rsidR="00554681" w:rsidRPr="00554681" w:rsidRDefault="00554681" w:rsidP="00554681">
                  <w:pPr>
                    <w:spacing w:after="0" w:line="360" w:lineRule="auto"/>
                    <w:jc w:val="center"/>
                    <w:rPr>
                      <w:rFonts w:ascii="Times New Roman" w:eastAsia="Times New Roman" w:hAnsi="Times New Roman" w:cs="Times New Roman"/>
                      <w:sz w:val="28"/>
                      <w:szCs w:val="28"/>
                    </w:rPr>
                  </w:pPr>
                  <w:r w:rsidRPr="00554681">
                    <w:rPr>
                      <w:rFonts w:ascii="Times New Roman" w:eastAsia="Times New Roman" w:hAnsi="Times New Roman" w:cs="Times New Roman"/>
                      <w:b/>
                      <w:bCs/>
                      <w:sz w:val="28"/>
                      <w:szCs w:val="28"/>
                    </w:rPr>
                    <w:t>THỦ TƯỚNG</w:t>
                  </w:r>
                </w:p>
              </w:tc>
            </w:tr>
            <w:tr w:rsidR="00554681" w:rsidRPr="00554681" w:rsidTr="00554681">
              <w:trPr>
                <w:trHeight w:val="475"/>
                <w:tblCellSpacing w:w="15" w:type="dxa"/>
              </w:trPr>
              <w:tc>
                <w:tcPr>
                  <w:tcW w:w="4902" w:type="pct"/>
                  <w:vAlign w:val="center"/>
                  <w:hideMark/>
                </w:tcPr>
                <w:p w:rsidR="00554681" w:rsidRPr="00554681" w:rsidRDefault="00554681" w:rsidP="00554681">
                  <w:pPr>
                    <w:spacing w:after="0" w:line="360" w:lineRule="auto"/>
                    <w:jc w:val="center"/>
                    <w:rPr>
                      <w:rFonts w:ascii="Times New Roman" w:eastAsia="Times New Roman" w:hAnsi="Times New Roman" w:cs="Times New Roman"/>
                      <w:i/>
                      <w:iCs/>
                      <w:sz w:val="28"/>
                      <w:szCs w:val="28"/>
                    </w:rPr>
                  </w:pPr>
                  <w:r w:rsidRPr="00554681">
                    <w:rPr>
                      <w:rFonts w:ascii="Times New Roman" w:eastAsia="Times New Roman" w:hAnsi="Times New Roman" w:cs="Times New Roman"/>
                      <w:i/>
                      <w:iCs/>
                      <w:sz w:val="28"/>
                      <w:szCs w:val="28"/>
                    </w:rPr>
                    <w:t>(Đã ký)</w:t>
                  </w:r>
                </w:p>
                <w:p w:rsidR="00554681" w:rsidRPr="00554681" w:rsidRDefault="00554681" w:rsidP="00554681">
                  <w:pPr>
                    <w:spacing w:after="0" w:line="360" w:lineRule="auto"/>
                    <w:rPr>
                      <w:rFonts w:ascii="Times New Roman" w:eastAsia="Times New Roman" w:hAnsi="Times New Roman" w:cs="Times New Roman"/>
                      <w:b/>
                      <w:i/>
                      <w:iCs/>
                      <w:sz w:val="28"/>
                      <w:szCs w:val="28"/>
                    </w:rPr>
                  </w:pPr>
                </w:p>
                <w:p w:rsidR="00554681" w:rsidRPr="00554681" w:rsidRDefault="00554681" w:rsidP="00554681">
                  <w:pPr>
                    <w:spacing w:after="0" w:line="360" w:lineRule="auto"/>
                    <w:jc w:val="center"/>
                    <w:rPr>
                      <w:rFonts w:ascii="Times New Roman" w:eastAsia="Times New Roman" w:hAnsi="Times New Roman" w:cs="Times New Roman"/>
                      <w:b/>
                      <w:sz w:val="28"/>
                      <w:szCs w:val="28"/>
                    </w:rPr>
                  </w:pPr>
                  <w:r w:rsidRPr="00554681">
                    <w:rPr>
                      <w:rFonts w:ascii="Times New Roman" w:eastAsia="Times New Roman" w:hAnsi="Times New Roman" w:cs="Times New Roman"/>
                      <w:b/>
                      <w:iCs/>
                      <w:sz w:val="28"/>
                      <w:szCs w:val="28"/>
                    </w:rPr>
                    <w:t>Phan Văn Khải</w:t>
                  </w:r>
                </w:p>
              </w:tc>
            </w:tr>
            <w:tr w:rsidR="00554681" w:rsidRPr="00554681" w:rsidTr="00554681">
              <w:trPr>
                <w:trHeight w:val="490"/>
                <w:tblCellSpacing w:w="15" w:type="dxa"/>
              </w:trPr>
              <w:tc>
                <w:tcPr>
                  <w:tcW w:w="4902" w:type="pct"/>
                  <w:vAlign w:val="center"/>
                  <w:hideMark/>
                </w:tcPr>
                <w:p w:rsidR="00554681" w:rsidRPr="00554681" w:rsidRDefault="00554681" w:rsidP="00465D4D">
                  <w:pPr>
                    <w:spacing w:after="0" w:line="360" w:lineRule="auto"/>
                    <w:jc w:val="both"/>
                    <w:rPr>
                      <w:rFonts w:ascii="Times New Roman" w:eastAsia="Times New Roman" w:hAnsi="Times New Roman" w:cs="Times New Roman"/>
                      <w:sz w:val="28"/>
                      <w:szCs w:val="28"/>
                    </w:rPr>
                  </w:pPr>
                  <w:r w:rsidRPr="00554681">
                    <w:rPr>
                      <w:rFonts w:ascii="Times New Roman" w:eastAsia="Times New Roman" w:hAnsi="Times New Roman" w:cs="Times New Roman"/>
                      <w:sz w:val="28"/>
                      <w:szCs w:val="28"/>
                    </w:rPr>
                    <w:t> </w:t>
                  </w:r>
                </w:p>
              </w:tc>
            </w:tr>
            <w:tr w:rsidR="00554681" w:rsidRPr="00554681" w:rsidTr="00554681">
              <w:trPr>
                <w:trHeight w:val="475"/>
                <w:tblCellSpacing w:w="15" w:type="dxa"/>
              </w:trPr>
              <w:tc>
                <w:tcPr>
                  <w:tcW w:w="4902" w:type="pct"/>
                  <w:vAlign w:val="center"/>
                  <w:hideMark/>
                </w:tcPr>
                <w:p w:rsidR="00554681" w:rsidRPr="00554681" w:rsidRDefault="00554681" w:rsidP="00465D4D">
                  <w:pPr>
                    <w:spacing w:after="0" w:line="360" w:lineRule="auto"/>
                    <w:jc w:val="both"/>
                    <w:rPr>
                      <w:rFonts w:ascii="Times New Roman" w:eastAsia="Times New Roman" w:hAnsi="Times New Roman" w:cs="Times New Roman"/>
                      <w:sz w:val="28"/>
                      <w:szCs w:val="28"/>
                    </w:rPr>
                  </w:pPr>
                  <w:r w:rsidRPr="00554681">
                    <w:rPr>
                      <w:rFonts w:ascii="Times New Roman" w:eastAsia="Times New Roman" w:hAnsi="Times New Roman" w:cs="Times New Roman"/>
                      <w:sz w:val="28"/>
                      <w:szCs w:val="28"/>
                    </w:rPr>
                    <w:t> </w:t>
                  </w:r>
                </w:p>
              </w:tc>
            </w:tr>
            <w:tr w:rsidR="00554681" w:rsidRPr="00554681" w:rsidTr="00554681">
              <w:trPr>
                <w:trHeight w:val="475"/>
                <w:tblCellSpacing w:w="15" w:type="dxa"/>
              </w:trPr>
              <w:tc>
                <w:tcPr>
                  <w:tcW w:w="4902" w:type="pct"/>
                  <w:vAlign w:val="center"/>
                  <w:hideMark/>
                </w:tcPr>
                <w:p w:rsidR="00554681" w:rsidRPr="00554681" w:rsidRDefault="00554681" w:rsidP="00465D4D">
                  <w:pPr>
                    <w:spacing w:after="0" w:line="360" w:lineRule="auto"/>
                    <w:jc w:val="both"/>
                    <w:rPr>
                      <w:rFonts w:ascii="Times New Roman" w:eastAsia="Times New Roman" w:hAnsi="Times New Roman" w:cs="Times New Roman"/>
                      <w:sz w:val="28"/>
                      <w:szCs w:val="28"/>
                    </w:rPr>
                  </w:pPr>
                </w:p>
              </w:tc>
            </w:tr>
          </w:tbl>
          <w:p w:rsidR="00554681" w:rsidRPr="00554681" w:rsidRDefault="00554681" w:rsidP="00554681">
            <w:pPr>
              <w:spacing w:before="120" w:after="120" w:line="360" w:lineRule="auto"/>
              <w:jc w:val="both"/>
              <w:rPr>
                <w:rFonts w:ascii="Times New Roman" w:eastAsia="Times New Roman" w:hAnsi="Times New Roman" w:cs="Times New Roman"/>
                <w:color w:val="222222"/>
                <w:sz w:val="28"/>
                <w:szCs w:val="28"/>
              </w:rPr>
            </w:pPr>
          </w:p>
        </w:tc>
      </w:tr>
      <w:tr w:rsidR="00554681" w:rsidRPr="00554681" w:rsidTr="001A5CDA">
        <w:trPr>
          <w:trHeight w:val="549"/>
          <w:tblCellSpacing w:w="15" w:type="dxa"/>
        </w:trPr>
        <w:tc>
          <w:tcPr>
            <w:tcW w:w="4969" w:type="pct"/>
            <w:gridSpan w:val="3"/>
            <w:shd w:val="clear" w:color="auto" w:fill="F9FAFC"/>
            <w:vAlign w:val="center"/>
            <w:hideMark/>
          </w:tcPr>
          <w:p w:rsidR="00554681" w:rsidRPr="00554681" w:rsidRDefault="00554681" w:rsidP="00554681">
            <w:pPr>
              <w:spacing w:after="0" w:line="360" w:lineRule="auto"/>
              <w:jc w:val="both"/>
              <w:rPr>
                <w:rFonts w:ascii="Times New Roman" w:eastAsia="Times New Roman" w:hAnsi="Times New Roman" w:cs="Times New Roman"/>
                <w:color w:val="222222"/>
                <w:sz w:val="28"/>
                <w:szCs w:val="28"/>
              </w:rPr>
            </w:pPr>
          </w:p>
        </w:tc>
      </w:tr>
    </w:tbl>
    <w:p w:rsidR="00760B4D" w:rsidRPr="00554681" w:rsidRDefault="00760B4D" w:rsidP="00554681">
      <w:pPr>
        <w:spacing w:line="360" w:lineRule="auto"/>
        <w:jc w:val="both"/>
        <w:rPr>
          <w:rFonts w:ascii="Times New Roman" w:hAnsi="Times New Roman" w:cs="Times New Roman"/>
          <w:sz w:val="28"/>
          <w:szCs w:val="28"/>
        </w:rPr>
      </w:pPr>
    </w:p>
    <w:sectPr w:rsidR="00760B4D" w:rsidRPr="00554681" w:rsidSect="00D517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62" w:rsidRDefault="002A7162" w:rsidP="00554681">
      <w:pPr>
        <w:spacing w:after="0" w:line="240" w:lineRule="auto"/>
      </w:pPr>
      <w:r>
        <w:separator/>
      </w:r>
    </w:p>
  </w:endnote>
  <w:endnote w:type="continuationSeparator" w:id="0">
    <w:p w:rsidR="002A7162" w:rsidRDefault="002A7162" w:rsidP="0055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D7" w:rsidRDefault="005348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55" w:rsidRPr="004473BC" w:rsidRDefault="00D51755" w:rsidP="00D51755">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 – 1900.6586</w:t>
    </w:r>
  </w:p>
  <w:p w:rsidR="00D51755" w:rsidRPr="00A67571" w:rsidRDefault="00D51755" w:rsidP="00D51755">
    <w:pPr>
      <w:pStyle w:val="Footer"/>
      <w:rPr>
        <w:rFonts w:ascii="Times New Roman" w:hAnsi="Times New Roman"/>
      </w:rPr>
    </w:pPr>
  </w:p>
  <w:p w:rsidR="00554681" w:rsidRDefault="005546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D7" w:rsidRDefault="00534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62" w:rsidRDefault="002A7162" w:rsidP="00554681">
      <w:pPr>
        <w:spacing w:after="0" w:line="240" w:lineRule="auto"/>
      </w:pPr>
      <w:r>
        <w:separator/>
      </w:r>
    </w:p>
  </w:footnote>
  <w:footnote w:type="continuationSeparator" w:id="0">
    <w:p w:rsidR="002A7162" w:rsidRDefault="002A7162" w:rsidP="0055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D7" w:rsidRDefault="005348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51755" w:rsidRPr="00A67571" w:rsidTr="00CB26A4">
      <w:trPr>
        <w:trHeight w:val="1208"/>
      </w:trPr>
      <w:tc>
        <w:tcPr>
          <w:tcW w:w="2411" w:type="dxa"/>
          <w:tcBorders>
            <w:top w:val="nil"/>
            <w:left w:val="nil"/>
            <w:bottom w:val="single" w:sz="4" w:space="0" w:color="auto"/>
            <w:right w:val="nil"/>
          </w:tcBorders>
          <w:vAlign w:val="center"/>
          <w:hideMark/>
        </w:tcPr>
        <w:p w:rsidR="00D51755" w:rsidRPr="00A67571" w:rsidRDefault="00D51755"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348D7" w:rsidRDefault="005348D7" w:rsidP="005348D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348D7" w:rsidRDefault="005348D7" w:rsidP="005348D7">
          <w:pPr>
            <w:rPr>
              <w:rFonts w:ascii="Times New Roman" w:hAnsi="Times New Roman"/>
              <w:sz w:val="20"/>
            </w:rPr>
          </w:pPr>
          <w:r>
            <w:t>89 To Vinh Dien Street, Thanh Xuan District, Hanoi City, Viet Nam</w:t>
          </w:r>
        </w:p>
        <w:p w:rsidR="005348D7" w:rsidRDefault="005348D7" w:rsidP="005348D7">
          <w:pPr>
            <w:rPr>
              <w:sz w:val="24"/>
            </w:rPr>
          </w:pPr>
          <w:r>
            <w:t>Tel:   1900.6568                             Fax: 024.73.000.111</w:t>
          </w:r>
        </w:p>
        <w:p w:rsidR="00D51755" w:rsidRPr="00A67571" w:rsidRDefault="005348D7" w:rsidP="005348D7">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0" w:name="_GoBack"/>
          <w:bookmarkEnd w:id="0"/>
        </w:p>
      </w:tc>
    </w:tr>
  </w:tbl>
  <w:p w:rsidR="00D51755" w:rsidRPr="00A67571" w:rsidRDefault="00D51755" w:rsidP="00D51755">
    <w:pPr>
      <w:pStyle w:val="Header"/>
      <w:rPr>
        <w:rFonts w:ascii="Times New Roman" w:hAnsi="Times New Roman"/>
      </w:rPr>
    </w:pPr>
  </w:p>
  <w:p w:rsidR="00554681" w:rsidRPr="00D51755" w:rsidRDefault="00554681" w:rsidP="00D517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D7" w:rsidRDefault="00534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4681"/>
    <w:rsid w:val="00080D32"/>
    <w:rsid w:val="000F41B9"/>
    <w:rsid w:val="001A5CDA"/>
    <w:rsid w:val="00270860"/>
    <w:rsid w:val="002A7162"/>
    <w:rsid w:val="004549CA"/>
    <w:rsid w:val="00482D6F"/>
    <w:rsid w:val="005348D7"/>
    <w:rsid w:val="00554681"/>
    <w:rsid w:val="0063248F"/>
    <w:rsid w:val="00760B4D"/>
    <w:rsid w:val="00885356"/>
    <w:rsid w:val="00D517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E816-96BE-4EAF-B06B-1074A8A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4D"/>
  </w:style>
  <w:style w:type="paragraph" w:styleId="Heading1">
    <w:name w:val="heading 1"/>
    <w:basedOn w:val="Normal"/>
    <w:next w:val="Normal"/>
    <w:link w:val="Heading1Char"/>
    <w:uiPriority w:val="9"/>
    <w:qFormat/>
    <w:rsid w:val="00554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D5175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4681"/>
  </w:style>
  <w:style w:type="paragraph" w:styleId="NormalWeb">
    <w:name w:val="Normal (Web)"/>
    <w:basedOn w:val="Normal"/>
    <w:uiPriority w:val="99"/>
    <w:unhideWhenUsed/>
    <w:rsid w:val="005546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4681"/>
    <w:pPr>
      <w:spacing w:after="0" w:line="240" w:lineRule="auto"/>
    </w:pPr>
  </w:style>
  <w:style w:type="character" w:customStyle="1" w:styleId="Heading1Char">
    <w:name w:val="Heading 1 Char"/>
    <w:basedOn w:val="DefaultParagraphFont"/>
    <w:link w:val="Heading1"/>
    <w:uiPriority w:val="9"/>
    <w:rsid w:val="005546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6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554681"/>
    <w:pPr>
      <w:tabs>
        <w:tab w:val="center" w:pos="4680"/>
        <w:tab w:val="right" w:pos="9360"/>
      </w:tabs>
      <w:spacing w:after="0" w:line="240" w:lineRule="auto"/>
    </w:pPr>
  </w:style>
  <w:style w:type="character" w:customStyle="1" w:styleId="HeaderChar">
    <w:name w:val="Header Char"/>
    <w:basedOn w:val="DefaultParagraphFont"/>
    <w:link w:val="Header"/>
    <w:rsid w:val="00554681"/>
  </w:style>
  <w:style w:type="paragraph" w:styleId="Footer">
    <w:name w:val="footer"/>
    <w:basedOn w:val="Normal"/>
    <w:link w:val="FooterChar"/>
    <w:uiPriority w:val="99"/>
    <w:unhideWhenUsed/>
    <w:rsid w:val="005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81"/>
  </w:style>
  <w:style w:type="paragraph" w:styleId="BalloonText">
    <w:name w:val="Balloon Text"/>
    <w:basedOn w:val="Normal"/>
    <w:link w:val="BalloonTextChar"/>
    <w:uiPriority w:val="99"/>
    <w:semiHidden/>
    <w:unhideWhenUsed/>
    <w:rsid w:val="005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81"/>
    <w:rPr>
      <w:rFonts w:ascii="Tahoma" w:hAnsi="Tahoma" w:cs="Tahoma"/>
      <w:sz w:val="16"/>
      <w:szCs w:val="16"/>
    </w:rPr>
  </w:style>
  <w:style w:type="character" w:styleId="Hyperlink">
    <w:name w:val="Hyperlink"/>
    <w:basedOn w:val="DefaultParagraphFont"/>
    <w:rsid w:val="00554681"/>
    <w:rPr>
      <w:color w:val="0000FF"/>
      <w:u w:val="single"/>
    </w:rPr>
  </w:style>
  <w:style w:type="character" w:customStyle="1" w:styleId="Heading6Char">
    <w:name w:val="Heading 6 Char"/>
    <w:basedOn w:val="DefaultParagraphFont"/>
    <w:link w:val="Heading6"/>
    <w:semiHidden/>
    <w:rsid w:val="00D51755"/>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7466">
      <w:bodyDiv w:val="1"/>
      <w:marLeft w:val="0"/>
      <w:marRight w:val="0"/>
      <w:marTop w:val="0"/>
      <w:marBottom w:val="0"/>
      <w:divBdr>
        <w:top w:val="none" w:sz="0" w:space="0" w:color="auto"/>
        <w:left w:val="none" w:sz="0" w:space="0" w:color="auto"/>
        <w:bottom w:val="none" w:sz="0" w:space="0" w:color="auto"/>
        <w:right w:val="none" w:sz="0" w:space="0" w:color="auto"/>
      </w:divBdr>
      <w:divsChild>
        <w:div w:id="2102141416">
          <w:marLeft w:val="0"/>
          <w:marRight w:val="0"/>
          <w:marTop w:val="0"/>
          <w:marBottom w:val="0"/>
          <w:divBdr>
            <w:top w:val="none" w:sz="0" w:space="0" w:color="auto"/>
            <w:left w:val="none" w:sz="0" w:space="0" w:color="auto"/>
            <w:bottom w:val="none" w:sz="0" w:space="0" w:color="auto"/>
            <w:right w:val="none" w:sz="0" w:space="0" w:color="auto"/>
          </w:divBdr>
        </w:div>
        <w:div w:id="1678770909">
          <w:marLeft w:val="0"/>
          <w:marRight w:val="0"/>
          <w:marTop w:val="0"/>
          <w:marBottom w:val="0"/>
          <w:divBdr>
            <w:top w:val="none" w:sz="0" w:space="0" w:color="auto"/>
            <w:left w:val="none" w:sz="0" w:space="0" w:color="auto"/>
            <w:bottom w:val="none" w:sz="0" w:space="0" w:color="auto"/>
            <w:right w:val="none" w:sz="0" w:space="0" w:color="auto"/>
          </w:divBdr>
        </w:div>
        <w:div w:id="1644430843">
          <w:marLeft w:val="0"/>
          <w:marRight w:val="0"/>
          <w:marTop w:val="0"/>
          <w:marBottom w:val="0"/>
          <w:divBdr>
            <w:top w:val="none" w:sz="0" w:space="0" w:color="auto"/>
            <w:left w:val="none" w:sz="0" w:space="0" w:color="auto"/>
            <w:bottom w:val="none" w:sz="0" w:space="0" w:color="auto"/>
            <w:right w:val="none" w:sz="0" w:space="0" w:color="auto"/>
          </w:divBdr>
        </w:div>
        <w:div w:id="585651907">
          <w:marLeft w:val="0"/>
          <w:marRight w:val="0"/>
          <w:marTop w:val="0"/>
          <w:marBottom w:val="0"/>
          <w:divBdr>
            <w:top w:val="none" w:sz="0" w:space="0" w:color="auto"/>
            <w:left w:val="none" w:sz="0" w:space="0" w:color="auto"/>
            <w:bottom w:val="none" w:sz="0" w:space="0" w:color="auto"/>
            <w:right w:val="none" w:sz="0" w:space="0" w:color="auto"/>
          </w:divBdr>
          <w:divsChild>
            <w:div w:id="2096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2014-09-27T09:16:00Z</dcterms:created>
  <dcterms:modified xsi:type="dcterms:W3CDTF">2020-09-11T08:34:00Z</dcterms:modified>
</cp:coreProperties>
</file>