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312" w:rsidRPr="00BA2312" w:rsidRDefault="00BA2312" w:rsidP="00BA2312">
      <w:pPr>
        <w:shd w:val="clear" w:color="auto" w:fill="FFFFFF"/>
        <w:spacing w:after="120" w:line="360" w:lineRule="auto"/>
        <w:jc w:val="center"/>
        <w:rPr>
          <w:rFonts w:ascii="Times New Roman" w:eastAsia="Times New Roman" w:hAnsi="Times New Roman"/>
          <w:b/>
          <w:bCs/>
          <w:color w:val="000000"/>
          <w:sz w:val="24"/>
          <w:szCs w:val="24"/>
        </w:rPr>
      </w:pPr>
      <w:r w:rsidRPr="00BA2312">
        <w:rPr>
          <w:rFonts w:ascii="Times New Roman" w:eastAsia="Times New Roman" w:hAnsi="Times New Roman"/>
          <w:b/>
          <w:bCs/>
          <w:color w:val="000000"/>
          <w:sz w:val="24"/>
          <w:szCs w:val="24"/>
        </w:rPr>
        <w:t>Biểu mức thu phí thẩm định điều kiện hoạt động và lệ phí cấp giấy phép hoạt động bưu chính</w:t>
      </w:r>
    </w:p>
    <w:p w:rsidR="00BA2312" w:rsidRPr="00BA2312" w:rsidRDefault="00BA2312" w:rsidP="00BA2312">
      <w:pPr>
        <w:shd w:val="clear" w:color="auto" w:fill="FFFFFF"/>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b/>
          <w:bCs/>
          <w:color w:val="000000"/>
          <w:sz w:val="24"/>
          <w:szCs w:val="24"/>
        </w:rPr>
        <w:t>BIỂU MỨC THU PHÍ THẨM ĐỊNH ĐIỀU KIỆN HOẠT ĐỘNG VÀ LỆ PHÍ CẤP GIẤY PHÉP TRONG HOẠT ĐỘNG BƯU CHÍNH</w:t>
      </w:r>
    </w:p>
    <w:p w:rsidR="00BA2312" w:rsidRPr="00BA2312" w:rsidRDefault="00BA2312" w:rsidP="00BA2312">
      <w:pPr>
        <w:shd w:val="clear" w:color="auto" w:fill="FFFFFF"/>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i/>
          <w:iCs/>
          <w:color w:val="000000"/>
          <w:sz w:val="24"/>
          <w:szCs w:val="24"/>
        </w:rPr>
        <w:t>(Ban hành kèm theo Thông tư số 185/2013/TT-BTC Ngày 04 tháng 12 năm 2013 của Bộ Tài chính)</w:t>
      </w:r>
    </w:p>
    <w:p w:rsidR="00BA2312" w:rsidRPr="00BA2312" w:rsidRDefault="00BA2312" w:rsidP="00BA2312">
      <w:pPr>
        <w:shd w:val="clear" w:color="auto" w:fill="FFFFFF"/>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b/>
          <w:bCs/>
          <w:color w:val="000000"/>
          <w:sz w:val="24"/>
          <w:szCs w:val="24"/>
        </w:rPr>
        <w:t>A. Mức phí thẩm định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47"/>
        <w:gridCol w:w="4795"/>
        <w:gridCol w:w="3138"/>
      </w:tblGrid>
      <w:tr w:rsidR="00BA2312" w:rsidRPr="00BA2312" w:rsidTr="00BA2312">
        <w:trPr>
          <w:tblCellSpacing w:w="0" w:type="dxa"/>
        </w:trPr>
        <w:tc>
          <w:tcPr>
            <w:tcW w:w="8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b/>
                <w:bCs/>
                <w:color w:val="000000"/>
                <w:sz w:val="24"/>
                <w:szCs w:val="24"/>
              </w:rPr>
              <w:t>Stt</w:t>
            </w:r>
          </w:p>
        </w:tc>
        <w:tc>
          <w:tcPr>
            <w:tcW w:w="47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b/>
                <w:bCs/>
                <w:color w:val="000000"/>
                <w:sz w:val="24"/>
                <w:szCs w:val="24"/>
              </w:rPr>
              <w:t>Nội dung thẩm định</w:t>
            </w:r>
          </w:p>
        </w:tc>
        <w:tc>
          <w:tcPr>
            <w:tcW w:w="313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b/>
                <w:bCs/>
                <w:color w:val="000000"/>
                <w:sz w:val="24"/>
                <w:szCs w:val="24"/>
              </w:rPr>
              <w:t>Mức phí (1.000 đồng/lần)</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b/>
                <w:bCs/>
                <w:color w:val="000000"/>
                <w:sz w:val="24"/>
                <w:szCs w:val="24"/>
              </w:rPr>
              <w:t>I</w:t>
            </w:r>
          </w:p>
        </w:tc>
        <w:tc>
          <w:tcPr>
            <w:tcW w:w="79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b/>
                <w:bCs/>
                <w:color w:val="000000"/>
                <w:sz w:val="24"/>
                <w:szCs w:val="24"/>
              </w:rPr>
              <w:t>Đối với các hoạt động thẩm định do Bộ Thông tin và Truyền thông thực hiện</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1</w:t>
            </w:r>
          </w:p>
        </w:tc>
        <w:tc>
          <w:tcPr>
            <w:tcW w:w="79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Thẩm định điều kiện cấp giấy phép bưu chính</w:t>
            </w:r>
          </w:p>
        </w:tc>
      </w:tr>
      <w:tr w:rsidR="00BA2312" w:rsidRPr="00BA2312" w:rsidTr="00BA2312">
        <w:trPr>
          <w:tblCellSpacing w:w="0" w:type="dxa"/>
        </w:trPr>
        <w:tc>
          <w:tcPr>
            <w:tcW w:w="847"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1.1</w:t>
            </w:r>
          </w:p>
        </w:tc>
        <w:tc>
          <w:tcPr>
            <w:tcW w:w="79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Thẩm định lần đầu và thẩm định lại khi hết hạn</w:t>
            </w:r>
          </w:p>
        </w:tc>
      </w:tr>
      <w:tr w:rsidR="00BA2312" w:rsidRPr="00BA2312" w:rsidTr="00BA2312">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A2312" w:rsidRPr="00BA2312" w:rsidRDefault="00BA2312" w:rsidP="00BA2312">
            <w:pPr>
              <w:spacing w:after="0" w:line="360" w:lineRule="auto"/>
              <w:rPr>
                <w:rFonts w:ascii="Times New Roman" w:eastAsia="Times New Roman" w:hAnsi="Times New Roman"/>
                <w:color w:val="000000"/>
                <w:sz w:val="24"/>
                <w:szCs w:val="24"/>
              </w:rPr>
            </w:pPr>
          </w:p>
        </w:tc>
        <w:tc>
          <w:tcPr>
            <w:tcW w:w="4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Phạm vi liên tỉnh</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Phạm vi quốc tế</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Quốc tế chiều đến</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Quốc tế chiều đi</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Quốc tế hai chiều</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21.500</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29.500</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34.500</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39.500</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1.2</w:t>
            </w:r>
          </w:p>
        </w:tc>
        <w:tc>
          <w:tcPr>
            <w:tcW w:w="79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Thẩm định sửa đổi, bổ sung</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1.2.1</w:t>
            </w:r>
          </w:p>
        </w:tc>
        <w:tc>
          <w:tcPr>
            <w:tcW w:w="79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Thẩm định mở rộng phạm vi cung ứng dịch vụ</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w:t>
            </w:r>
          </w:p>
        </w:tc>
        <w:tc>
          <w:tcPr>
            <w:tcW w:w="4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Phạm vi liên tỉnh</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Phạm vi quốc tế</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lastRenderedPageBreak/>
              <w:t>+ Quốc tế chiều đến</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Quốc tế chiều đi</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Quốc tế hai chiều</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lastRenderedPageBreak/>
              <w:t>5.500</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lastRenderedPageBreak/>
              <w:t>6.500</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7.500</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8.500</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lastRenderedPageBreak/>
              <w:t>1.2.2</w:t>
            </w:r>
          </w:p>
        </w:tc>
        <w:tc>
          <w:tcPr>
            <w:tcW w:w="4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Thẩm định thay đổi các nội dung khác trong giấy phép</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3.000</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1.2.3</w:t>
            </w:r>
          </w:p>
        </w:tc>
        <w:tc>
          <w:tcPr>
            <w:tcW w:w="4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Thẩm định cấp lại giấy phép bưu chính khi bị mất hoặc hư hỏng không sử dụng được</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2.500</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w:t>
            </w:r>
          </w:p>
        </w:tc>
        <w:tc>
          <w:tcPr>
            <w:tcW w:w="79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Thẩm định điều kiện cấp văn bản xác nhận thông báo hoạt động bưu chính</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2.1</w:t>
            </w:r>
          </w:p>
        </w:tc>
        <w:tc>
          <w:tcPr>
            <w:tcW w:w="79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Thẩm định cấp lần đầu</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2.1.1</w:t>
            </w:r>
          </w:p>
        </w:tc>
        <w:tc>
          <w:tcPr>
            <w:tcW w:w="79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Trường hợp tự cung ứng dịch vụ</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w:t>
            </w:r>
          </w:p>
        </w:tc>
        <w:tc>
          <w:tcPr>
            <w:tcW w:w="4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Phạm vi liên tỉnh</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Phạm vi quốc tế</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Quốc tế chiều đến</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Quốc tế chiều đi</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Quốc tế hai chiều</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2.500</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2.500</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2.500</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2.500</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2.1.2</w:t>
            </w:r>
          </w:p>
        </w:tc>
        <w:tc>
          <w:tcPr>
            <w:tcW w:w="79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Trường hợp làm đại lý cho doanh nghiệp cung ứng dịch vụ bưu chính nước ngoài, nhận nhượng quyền thương mại trong lĩnh vực bưu chính từ nước ngoài vào Việt Nam và làm đại diện cho doanh nghiệp cung ứng dịch vụ bưu chính nước ngoài</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w:t>
            </w:r>
          </w:p>
        </w:tc>
        <w:tc>
          <w:tcPr>
            <w:tcW w:w="4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Phạm vi liên tỉnh</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Phạm vi quốc tế</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lastRenderedPageBreak/>
              <w:t>+ Quốc tế chiều đến</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Quốc tế chiều đi</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Quốc tế hai chiều</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lastRenderedPageBreak/>
              <w:t>3.500</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lastRenderedPageBreak/>
              <w:t>3.500</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3.500</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3.500</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lastRenderedPageBreak/>
              <w:t>2.1.3</w:t>
            </w:r>
          </w:p>
        </w:tc>
        <w:tc>
          <w:tcPr>
            <w:tcW w:w="4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Trường hợp làm văn phòng đại diện của doanh nghiệp cung ứng dịch vụ bưu chính nước ngoài</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2.000</w:t>
            </w:r>
          </w:p>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2.2</w:t>
            </w:r>
          </w:p>
        </w:tc>
        <w:tc>
          <w:tcPr>
            <w:tcW w:w="4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Thẩm định cấp lại khi bị mất hoặc hư hỏng không sử dụng được</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2.500</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3</w:t>
            </w:r>
          </w:p>
        </w:tc>
        <w:tc>
          <w:tcPr>
            <w:tcW w:w="4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Thẩm định cấp giấy phép nhập khẩu tem bưu chính</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1.000</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b/>
                <w:bCs/>
                <w:color w:val="000000"/>
                <w:sz w:val="24"/>
                <w:szCs w:val="24"/>
              </w:rPr>
              <w:t>II</w:t>
            </w:r>
          </w:p>
        </w:tc>
        <w:tc>
          <w:tcPr>
            <w:tcW w:w="7933"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b/>
                <w:bCs/>
                <w:color w:val="000000"/>
                <w:sz w:val="24"/>
                <w:szCs w:val="24"/>
              </w:rPr>
              <w:t>Đối với các hoạt động thẩm định do Sở Thông tin và Truyền thông thực hiện</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1</w:t>
            </w:r>
          </w:p>
        </w:tc>
        <w:tc>
          <w:tcPr>
            <w:tcW w:w="4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Thẩm định điều kiện cấp giấy phép bưu chính và cấp văn bản xác nhận hoạt động bưu chính nội tỉnh</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Thu bằng 50% mức thu phí thẩm định điều kiện cấp giấy phép bưu chính và cấp văn bản xác nhận hoạt động bưu chính liên tỉnh quy định tại Mục I Biểu này.</w:t>
            </w:r>
          </w:p>
        </w:tc>
      </w:tr>
      <w:tr w:rsidR="00BA2312" w:rsidRPr="00BA2312" w:rsidTr="00BA2312">
        <w:trPr>
          <w:tblCellSpacing w:w="0" w:type="dxa"/>
        </w:trPr>
        <w:tc>
          <w:tcPr>
            <w:tcW w:w="8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w:t>
            </w:r>
          </w:p>
        </w:tc>
        <w:tc>
          <w:tcPr>
            <w:tcW w:w="47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Thẩm định cấp văn bản xác nhận thông báo hoạt động bưu chính đối với chi nhánh, văn phòng đại diện của doanh nghiệp cung ứng dịch vụ bưu chính được thành lập theo pháp luật Việt Nam</w:t>
            </w:r>
          </w:p>
        </w:tc>
        <w:tc>
          <w:tcPr>
            <w:tcW w:w="313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A2312" w:rsidRPr="00BA2312" w:rsidRDefault="00BA2312" w:rsidP="00BA2312">
            <w:pPr>
              <w:spacing w:after="120" w:line="360" w:lineRule="auto"/>
              <w:jc w:val="center"/>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1.000</w:t>
            </w:r>
          </w:p>
          <w:p w:rsidR="00BA2312" w:rsidRPr="00BA2312" w:rsidRDefault="00BA2312" w:rsidP="00BA2312">
            <w:pPr>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w:t>
            </w:r>
          </w:p>
        </w:tc>
      </w:tr>
    </w:tbl>
    <w:p w:rsidR="00BA2312" w:rsidRPr="00BA2312" w:rsidRDefault="00BA2312" w:rsidP="00BA2312">
      <w:pPr>
        <w:shd w:val="clear" w:color="auto" w:fill="FFFFFF"/>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b/>
          <w:bCs/>
          <w:color w:val="000000"/>
          <w:sz w:val="24"/>
          <w:szCs w:val="24"/>
        </w:rPr>
        <w:t>B. Mức lệ phí</w:t>
      </w:r>
    </w:p>
    <w:p w:rsidR="00BA2312" w:rsidRPr="00BA2312" w:rsidRDefault="00BA2312" w:rsidP="00BA2312">
      <w:pPr>
        <w:shd w:val="clear" w:color="auto" w:fill="FFFFFF"/>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lastRenderedPageBreak/>
        <w:t>1. Cấp giấy phép bưu chính, giấy phép nhập khẩu tem bưu chính và văn bản xác nhận thông báo hoạt động bưu chính lần đầu, cấp lại khi hết hạn cho các nội dung thẩm định quy định tại phần A Biểu này: 200.000 đ (hai trăm nghìn đồng)/lần.</w:t>
      </w:r>
    </w:p>
    <w:p w:rsidR="00BA2312" w:rsidRPr="00BA2312" w:rsidRDefault="00BA2312" w:rsidP="00BA2312">
      <w:pPr>
        <w:shd w:val="clear" w:color="auto" w:fill="FFFFFF"/>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2. Cấp sửa đổi, bổ sung, cấp lại (do mất hoặc hư hỏng) giấy phép bưu chính, giấy phép nhập khẩu tem bưu chính và văn bản xác nhận thông báo hoạt động bưu chính cho các nội dung quy định tại phần A Biểu này: 100.000 đ (một trăm nghìn đồng)/lần.</w:t>
      </w:r>
    </w:p>
    <w:p w:rsidR="00BA2312" w:rsidRPr="00BA2312" w:rsidRDefault="00BA2312" w:rsidP="00BA2312">
      <w:pPr>
        <w:shd w:val="clear" w:color="auto" w:fill="FFFFFF"/>
        <w:spacing w:after="120" w:line="360" w:lineRule="auto"/>
        <w:rPr>
          <w:rFonts w:ascii="Times New Roman" w:eastAsia="Times New Roman" w:hAnsi="Times New Roman"/>
          <w:color w:val="000000"/>
          <w:sz w:val="24"/>
          <w:szCs w:val="24"/>
        </w:rPr>
      </w:pPr>
      <w:r w:rsidRPr="00BA2312">
        <w:rPr>
          <w:rFonts w:ascii="Times New Roman" w:eastAsia="Times New Roman" w:hAnsi="Times New Roman"/>
          <w:color w:val="000000"/>
          <w:sz w:val="24"/>
          <w:szCs w:val="24"/>
        </w:rPr>
        <w:t> </w:t>
      </w:r>
    </w:p>
    <w:p w:rsidR="00450888" w:rsidRPr="00BA2312" w:rsidRDefault="00450888" w:rsidP="00BA2312">
      <w:pPr>
        <w:spacing w:line="360" w:lineRule="auto"/>
        <w:rPr>
          <w:rFonts w:ascii="Times New Roman" w:hAnsi="Times New Roman"/>
          <w:sz w:val="24"/>
          <w:szCs w:val="24"/>
        </w:rPr>
      </w:pPr>
    </w:p>
    <w:p w:rsidR="00BA2312" w:rsidRPr="00BA2312" w:rsidRDefault="00BA2312">
      <w:pPr>
        <w:spacing w:line="360" w:lineRule="auto"/>
        <w:rPr>
          <w:rFonts w:ascii="Times New Roman" w:hAnsi="Times New Roman"/>
          <w:sz w:val="24"/>
          <w:szCs w:val="24"/>
        </w:rPr>
      </w:pPr>
    </w:p>
    <w:sectPr w:rsidR="00BA2312" w:rsidRPr="00BA23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DB6" w:rsidRDefault="00A35DB6" w:rsidP="00BA2312">
      <w:pPr>
        <w:spacing w:after="0" w:line="240" w:lineRule="auto"/>
      </w:pPr>
      <w:r>
        <w:separator/>
      </w:r>
    </w:p>
  </w:endnote>
  <w:endnote w:type="continuationSeparator" w:id="0">
    <w:p w:rsidR="00A35DB6" w:rsidRDefault="00A35DB6" w:rsidP="00BA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DC" w:rsidRDefault="00C94D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312" w:rsidRPr="00A67571" w:rsidRDefault="00BA2312" w:rsidP="00BA2312">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BA2312" w:rsidRDefault="00BA231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DC" w:rsidRDefault="00C94D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DB6" w:rsidRDefault="00A35DB6" w:rsidP="00BA2312">
      <w:pPr>
        <w:spacing w:after="0" w:line="240" w:lineRule="auto"/>
      </w:pPr>
      <w:r>
        <w:separator/>
      </w:r>
    </w:p>
  </w:footnote>
  <w:footnote w:type="continuationSeparator" w:id="0">
    <w:p w:rsidR="00A35DB6" w:rsidRDefault="00A35DB6" w:rsidP="00BA2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DC" w:rsidRDefault="00C94D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A2312" w:rsidRPr="00A67571" w:rsidTr="0025288B">
      <w:trPr>
        <w:trHeight w:val="1208"/>
      </w:trPr>
      <w:tc>
        <w:tcPr>
          <w:tcW w:w="2411" w:type="dxa"/>
          <w:tcBorders>
            <w:top w:val="nil"/>
            <w:left w:val="nil"/>
            <w:bottom w:val="single" w:sz="4" w:space="0" w:color="auto"/>
            <w:right w:val="nil"/>
          </w:tcBorders>
          <w:vAlign w:val="center"/>
          <w:hideMark/>
        </w:tcPr>
        <w:p w:rsidR="00BA2312" w:rsidRPr="00A67571" w:rsidRDefault="00BA2312" w:rsidP="0025288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94DDC" w:rsidRDefault="00C94DDC" w:rsidP="00C94DDC">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C94DDC" w:rsidRDefault="00C94DDC" w:rsidP="00C94DDC">
          <w:pPr>
            <w:rPr>
              <w:rFonts w:ascii="Times New Roman" w:hAnsi="Times New Roman"/>
              <w:sz w:val="20"/>
            </w:rPr>
          </w:pPr>
          <w:r>
            <w:rPr>
              <w:sz w:val="20"/>
            </w:rPr>
            <w:t>89 To Vinh Dien Street, Thanh Xuan District, Hanoi City, Viet Nam</w:t>
          </w:r>
        </w:p>
        <w:p w:rsidR="00C94DDC" w:rsidRDefault="00C94DDC" w:rsidP="00C94DDC">
          <w:pPr>
            <w:rPr>
              <w:sz w:val="20"/>
            </w:rPr>
          </w:pPr>
          <w:r>
            <w:rPr>
              <w:sz w:val="20"/>
            </w:rPr>
            <w:t>Tel:   1900.6568          Fax: 024.73.000.111</w:t>
          </w:r>
        </w:p>
        <w:p w:rsidR="00BA2312" w:rsidRPr="00A67571" w:rsidRDefault="00C94DDC" w:rsidP="00C94DDC">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rsidR="00BA2312" w:rsidRDefault="00BA23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DDC" w:rsidRDefault="00C94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1C"/>
    <w:rsid w:val="00450888"/>
    <w:rsid w:val="004E601C"/>
    <w:rsid w:val="00766699"/>
    <w:rsid w:val="00A35DB6"/>
    <w:rsid w:val="00BA2312"/>
    <w:rsid w:val="00C94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72369-05C8-49D7-BA15-F6DC0A3C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1C"/>
    <w:rPr>
      <w:rFonts w:ascii="Calibri" w:eastAsia="Calibri" w:hAnsi="Calibri" w:cs="Times New Roman"/>
      <w:sz w:val="22"/>
    </w:rPr>
  </w:style>
  <w:style w:type="paragraph" w:styleId="Heading6">
    <w:name w:val="heading 6"/>
    <w:basedOn w:val="Normal"/>
    <w:next w:val="Normal"/>
    <w:link w:val="Heading6Char"/>
    <w:semiHidden/>
    <w:unhideWhenUsed/>
    <w:qFormat/>
    <w:rsid w:val="00BA2312"/>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E601C"/>
    <w:rPr>
      <w:b/>
      <w:bCs/>
    </w:rPr>
  </w:style>
  <w:style w:type="paragraph" w:styleId="NormalWeb">
    <w:name w:val="Normal (Web)"/>
    <w:basedOn w:val="Normal"/>
    <w:uiPriority w:val="99"/>
    <w:unhideWhenUsed/>
    <w:rsid w:val="004E601C"/>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4E601C"/>
    <w:rPr>
      <w:color w:val="0000FF"/>
      <w:u w:val="single"/>
    </w:rPr>
  </w:style>
  <w:style w:type="paragraph" w:styleId="Header">
    <w:name w:val="header"/>
    <w:basedOn w:val="Normal"/>
    <w:link w:val="HeaderChar"/>
    <w:uiPriority w:val="99"/>
    <w:unhideWhenUsed/>
    <w:rsid w:val="00BA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312"/>
    <w:rPr>
      <w:rFonts w:ascii="Calibri" w:eastAsia="Calibri" w:hAnsi="Calibri" w:cs="Times New Roman"/>
      <w:sz w:val="22"/>
    </w:rPr>
  </w:style>
  <w:style w:type="paragraph" w:styleId="Footer">
    <w:name w:val="footer"/>
    <w:basedOn w:val="Normal"/>
    <w:link w:val="FooterChar"/>
    <w:uiPriority w:val="99"/>
    <w:unhideWhenUsed/>
    <w:rsid w:val="00BA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312"/>
    <w:rPr>
      <w:rFonts w:ascii="Calibri" w:eastAsia="Calibri" w:hAnsi="Calibri" w:cs="Times New Roman"/>
      <w:sz w:val="22"/>
    </w:rPr>
  </w:style>
  <w:style w:type="character" w:customStyle="1" w:styleId="Heading6Char">
    <w:name w:val="Heading 6 Char"/>
    <w:basedOn w:val="DefaultParagraphFont"/>
    <w:link w:val="Heading6"/>
    <w:semiHidden/>
    <w:rsid w:val="00BA2312"/>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BA2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3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14369">
      <w:bodyDiv w:val="1"/>
      <w:marLeft w:val="0"/>
      <w:marRight w:val="0"/>
      <w:marTop w:val="0"/>
      <w:marBottom w:val="0"/>
      <w:divBdr>
        <w:top w:val="none" w:sz="0" w:space="0" w:color="auto"/>
        <w:left w:val="none" w:sz="0" w:space="0" w:color="auto"/>
        <w:bottom w:val="none" w:sz="0" w:space="0" w:color="auto"/>
        <w:right w:val="none" w:sz="0" w:space="0" w:color="auto"/>
      </w:divBdr>
    </w:div>
    <w:div w:id="1416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2015-11-26T08:06:00Z</dcterms:created>
  <dcterms:modified xsi:type="dcterms:W3CDTF">2020-08-28T01:56:00Z</dcterms:modified>
</cp:coreProperties>
</file>