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4111"/>
        <w:gridCol w:w="5585"/>
      </w:tblGrid>
      <w:tr w:rsidR="00241598" w:rsidRPr="00241598" w:rsidTr="00241598">
        <w:trPr>
          <w:tblCellSpacing w:w="30" w:type="dxa"/>
        </w:trPr>
        <w:tc>
          <w:tcPr>
            <w:tcW w:w="2050" w:type="pct"/>
            <w:shd w:val="clear" w:color="auto" w:fill="FFFFFF"/>
            <w:tcMar>
              <w:top w:w="57" w:type="dxa"/>
              <w:left w:w="108" w:type="dxa"/>
              <w:bottom w:w="57" w:type="dxa"/>
              <w:right w:w="108"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t>BỘ LAO ĐỘNG, THƯƠNG BINH VÀ XÃ HỘI-BỘ Y TẾ-TỔNG LIÊN ĐOÀN LAO ĐỘNG VIỆT NAM</w:t>
            </w:r>
            <w:r w:rsidRPr="00241598">
              <w:rPr>
                <w:rFonts w:ascii="Times New Roman" w:eastAsia="Times New Roman" w:hAnsi="Times New Roman" w:cs="Times New Roman"/>
                <w:b/>
                <w:bCs/>
                <w:color w:val="000000"/>
                <w:sz w:val="24"/>
                <w:szCs w:val="24"/>
              </w:rPr>
              <w:br/>
              <w:t>********</w:t>
            </w:r>
          </w:p>
        </w:tc>
        <w:tc>
          <w:tcPr>
            <w:tcW w:w="2800" w:type="pct"/>
            <w:shd w:val="clear" w:color="auto" w:fill="FFFFFF"/>
            <w:tcMar>
              <w:top w:w="57" w:type="dxa"/>
              <w:left w:w="108" w:type="dxa"/>
              <w:bottom w:w="57" w:type="dxa"/>
              <w:right w:w="108"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t>CỘNG HOÀ XÃ HỘI CHỦ NGHĨA VIỆT NAM</w:t>
            </w:r>
            <w:r w:rsidRPr="00241598">
              <w:rPr>
                <w:rFonts w:ascii="Times New Roman" w:eastAsia="Times New Roman" w:hAnsi="Times New Roman" w:cs="Times New Roman"/>
                <w:b/>
                <w:bCs/>
                <w:color w:val="000000"/>
                <w:sz w:val="24"/>
                <w:szCs w:val="24"/>
              </w:rPr>
              <w:br/>
              <w:t>Độc lập - Tự do - Hạnh phúc</w:t>
            </w:r>
            <w:r w:rsidRPr="00241598">
              <w:rPr>
                <w:rFonts w:ascii="Times New Roman" w:eastAsia="Times New Roman" w:hAnsi="Times New Roman" w:cs="Times New Roman"/>
                <w:b/>
                <w:bCs/>
                <w:color w:val="000000"/>
                <w:sz w:val="24"/>
                <w:szCs w:val="24"/>
              </w:rPr>
              <w:br/>
              <w:t>********</w:t>
            </w:r>
          </w:p>
        </w:tc>
      </w:tr>
      <w:tr w:rsidR="00241598" w:rsidRPr="00241598" w:rsidTr="00241598">
        <w:trPr>
          <w:tblCellSpacing w:w="30" w:type="dxa"/>
        </w:trPr>
        <w:tc>
          <w:tcPr>
            <w:tcW w:w="2050" w:type="pct"/>
            <w:shd w:val="clear" w:color="auto" w:fill="FFFFFF"/>
            <w:tcMar>
              <w:top w:w="57" w:type="dxa"/>
              <w:left w:w="108" w:type="dxa"/>
              <w:bottom w:w="57" w:type="dxa"/>
              <w:right w:w="108"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Số: 29/TT-LB</w:t>
            </w:r>
          </w:p>
        </w:tc>
        <w:tc>
          <w:tcPr>
            <w:tcW w:w="2800" w:type="pct"/>
            <w:shd w:val="clear" w:color="auto" w:fill="FFFFFF"/>
            <w:tcMar>
              <w:top w:w="57" w:type="dxa"/>
              <w:left w:w="108" w:type="dxa"/>
              <w:bottom w:w="57" w:type="dxa"/>
              <w:right w:w="108" w:type="dxa"/>
            </w:tcMar>
            <w:hideMark/>
          </w:tcPr>
          <w:p w:rsidR="00241598" w:rsidRPr="00241598" w:rsidRDefault="00241598" w:rsidP="00241598">
            <w:pPr>
              <w:spacing w:after="120" w:line="260" w:lineRule="atLeast"/>
              <w:jc w:val="right"/>
              <w:rPr>
                <w:rFonts w:ascii="Times New Roman" w:eastAsia="Times New Roman" w:hAnsi="Times New Roman" w:cs="Times New Roman"/>
                <w:color w:val="000000"/>
                <w:sz w:val="24"/>
                <w:szCs w:val="24"/>
              </w:rPr>
            </w:pPr>
            <w:r w:rsidRPr="00241598">
              <w:rPr>
                <w:rFonts w:ascii="Times New Roman" w:eastAsia="Times New Roman" w:hAnsi="Times New Roman" w:cs="Times New Roman"/>
                <w:i/>
                <w:iCs/>
                <w:color w:val="000000"/>
                <w:sz w:val="24"/>
                <w:szCs w:val="24"/>
              </w:rPr>
              <w:t>Hà Nội , ngày 25 tháng 12 năm 1991</w:t>
            </w:r>
          </w:p>
        </w:tc>
      </w:tr>
    </w:tbl>
    <w:p w:rsidR="00241598" w:rsidRPr="00241598" w:rsidRDefault="00241598" w:rsidP="00241598">
      <w:pPr>
        <w:shd w:val="clear" w:color="auto" w:fill="FFFFFF"/>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t> </w:t>
      </w:r>
    </w:p>
    <w:p w:rsidR="00241598" w:rsidRPr="00241598" w:rsidRDefault="00241598" w:rsidP="00241598">
      <w:pPr>
        <w:shd w:val="clear" w:color="auto" w:fill="FFFFFF"/>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t>THÔNG TƯ LIÊN BỘ</w:t>
      </w:r>
    </w:p>
    <w:p w:rsidR="00241598" w:rsidRPr="00241598" w:rsidRDefault="00241598" w:rsidP="00241598">
      <w:pPr>
        <w:shd w:val="clear" w:color="auto" w:fill="FFFFFF"/>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CỦA BỘ Y TẾ, BỘ LAO ĐỘNG - THƯƠNG BINH VÀ XÃ HỘI, TỔNG LIÊN ĐOÀN LAO ĐỘNG VIỆT NAM SỐ 29/TT-LB NGÀY 25 THÁNG 12 NĂM 1991 BỔ SUNG MỘT SỐ BỆNH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i/>
          <w:iCs/>
          <w:color w:val="000000"/>
          <w:sz w:val="24"/>
          <w:szCs w:val="24"/>
        </w:rPr>
        <w:t>Căn cứ vào kết quả của đề tài nghiên cứu về bệnh nghề nghiệp thuộc chương trình nghiên cứu khoa học cấp Nhà nước 58A và đề tài cấp Bộ về bảo hộ lao động và tình hình thực tế ở Việt Nam, Liên Bộ Y tế, Lao động - Thương binh và Xã hội và Tổng Liên đoàn Lao động Việt Nam quy định bổ sung 8 bệnh nghề nghiệp sau đây vào Thông tư Liên Bộ số 08/TT-LB ngày 19-5-1976.</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Loét da, loét vách ngăn mũi, viêm da, chàm tiếp xúc</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Bệnh xạm da</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 Bệnh rung chuyển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4. Bệnh bụi phổi bông</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 Bệnh lao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Bệnh viêm gan do virut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7. Bệnh do leptospira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8. Bệnh nhiễm độc TNT (Trinitototuene).</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Những công việc có thể làm cho người lao động mắc bệnh, các hội chứng của bệnh, thời gian bảo đảm, tỷ lệ mất khả năng lao động của mỗi bệnh theo phụ lục kèm theo Thông tư này.</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Thông tư này có hiệu lực kể từ ngày ban hành.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Trong quá trình thực hiện có gì vướng mắc, khó khăn, các cấp, các ngành phản ánh về Bộ Y tế, Bộ Lao động - Thương binh và Xã hội và Tổng liên đoàn Lao động Việt Nam để nghiên cứu, hướng dẫn giải quyết.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95"/>
        <w:gridCol w:w="3096"/>
        <w:gridCol w:w="3096"/>
      </w:tblGrid>
      <w:tr w:rsidR="00241598" w:rsidRPr="00241598" w:rsidTr="00241598">
        <w:trPr>
          <w:tblCellSpacing w:w="0" w:type="dxa"/>
        </w:trPr>
        <w:tc>
          <w:tcPr>
            <w:tcW w:w="3095" w:type="dxa"/>
            <w:shd w:val="clear" w:color="auto" w:fill="FFFFFF"/>
            <w:tcMar>
              <w:top w:w="0" w:type="dxa"/>
              <w:left w:w="108" w:type="dxa"/>
              <w:bottom w:w="0" w:type="dxa"/>
              <w:right w:w="108"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t>Bùi Ngọc Thanh</w:t>
            </w:r>
          </w:p>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(Đã ký)</w:t>
            </w:r>
          </w:p>
        </w:tc>
        <w:tc>
          <w:tcPr>
            <w:tcW w:w="3096" w:type="dxa"/>
            <w:shd w:val="clear" w:color="auto" w:fill="FFFFFF"/>
            <w:tcMar>
              <w:top w:w="0" w:type="dxa"/>
              <w:left w:w="108" w:type="dxa"/>
              <w:bottom w:w="0" w:type="dxa"/>
              <w:right w:w="108"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lastRenderedPageBreak/>
              <w:t>Nguyễn Văn Đàn</w:t>
            </w:r>
          </w:p>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(Đã ký)</w:t>
            </w:r>
          </w:p>
        </w:tc>
        <w:tc>
          <w:tcPr>
            <w:tcW w:w="3096" w:type="dxa"/>
            <w:shd w:val="clear" w:color="auto" w:fill="FFFFFF"/>
            <w:tcMar>
              <w:top w:w="0" w:type="dxa"/>
              <w:left w:w="108" w:type="dxa"/>
              <w:bottom w:w="0" w:type="dxa"/>
              <w:right w:w="108"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lastRenderedPageBreak/>
              <w:t>Nguyễn An Lương</w:t>
            </w:r>
          </w:p>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(Đã ký)</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 </w:t>
      </w:r>
    </w:p>
    <w:p w:rsidR="00241598" w:rsidRPr="00241598" w:rsidRDefault="00241598" w:rsidP="00241598">
      <w:pPr>
        <w:shd w:val="clear" w:color="auto" w:fill="FFFFFF"/>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b/>
          <w:bCs/>
          <w:color w:val="000000"/>
          <w:sz w:val="24"/>
          <w:szCs w:val="24"/>
        </w:rPr>
        <w:t>PHỤ LỤC</w:t>
      </w:r>
    </w:p>
    <w:p w:rsidR="00241598" w:rsidRPr="00241598" w:rsidRDefault="00241598" w:rsidP="00241598">
      <w:pPr>
        <w:shd w:val="clear" w:color="auto" w:fill="FFFFFF"/>
        <w:spacing w:after="120" w:line="260" w:lineRule="atLeast"/>
        <w:jc w:val="center"/>
        <w:rPr>
          <w:rFonts w:ascii="Times New Roman" w:eastAsia="Times New Roman" w:hAnsi="Times New Roman" w:cs="Times New Roman"/>
          <w:color w:val="000000"/>
          <w:sz w:val="24"/>
          <w:szCs w:val="24"/>
        </w:rPr>
      </w:pPr>
      <w:bookmarkStart w:id="0" w:name="loai_1"/>
      <w:r w:rsidRPr="00241598">
        <w:rPr>
          <w:rFonts w:ascii="Times New Roman" w:eastAsia="Times New Roman" w:hAnsi="Times New Roman" w:cs="Times New Roman"/>
          <w:color w:val="000000"/>
          <w:sz w:val="24"/>
          <w:szCs w:val="24"/>
        </w:rPr>
        <w:t>DANH MỤC CÁC BỆNH NGHỀ NGHIỆP BẢO HIỂM ĐƯỢC BỔ SUNG</w:t>
      </w:r>
      <w:bookmarkEnd w:id="0"/>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Loét da, loét vách ngăn mũi, viêm da, chàm tiếp xúc:</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Những 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Chế tạo ắc quy, luyện kim, sản xuất nến, xáp, thuốc nhuộm, chất tẩy rửa, thuốc nổ, pháo hoa, diêm, keo dán, xi măng, đồ gốm, muối Crôm, bột màu, men sứ, thuỷ tinh, bản kẽm, cao su, gạch chịu lửa, xà phòng, hợp kim nhôm, thợ xây dựng, mạ điện, crôm...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Loét da và niêm mạc:</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Loét vách ngăn mũi</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5-20%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Loét da</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5-20%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Viêm da tiếp xúc, chàm tiếp xúc chẩn đoán xác định dựa vào thử nghiệm da và tính chất tái phát của bệnh khi tiếp xúc lại</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điều trị và</w:t>
            </w:r>
            <w:r w:rsidRPr="00241598">
              <w:rPr>
                <w:rFonts w:ascii="Times New Roman" w:eastAsia="Times New Roman" w:hAnsi="Times New Roman" w:cs="Times New Roman"/>
                <w:color w:val="000000"/>
                <w:sz w:val="24"/>
                <w:szCs w:val="24"/>
              </w:rPr>
              <w:br/>
              <w:t>chuyển nghề</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Thời gian bảo đảm là thời gian phát sinh bệnh sau khi ngừng tiếp xúc.</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Bệnh xạm da:</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Những 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Khi tiếp xúc với: dầu hoả, dầu mazut, dầu nhờn, dầu xăng, benzen pharaphin, luyện cốc, nhựa than, acridin, anthracen nhựa đường, bitum creosat, hơi hydrocabua, bạc, chì, bức xạ iôn hoá chất lưu huỳnh, phenol, dầu đá phiến than đen, sa thạch, sản xuất cao su...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Xạm da khu trú từng vùng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10 - 30%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Xạm da lan toả</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11 - 40%</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 Bệnh rung chuyển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Tổn thương xương khớp và rối loạn vận mạch do sử dụng dụng cụ rung cầm tay.</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Những 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Thao tác với các loại dụng cụ hơi nén cầm tay như búa, dũi, búa tán vi vê, chầy đục phá khuôn, đúc khuôn, máy khoan đá...</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Sử dụng các máy chạy bằng động cơ nổ, loại cầm tay, như máy cưa, máy cắt cỏ.</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Tiếp xúc với các vật gây rung chuyền theo đường tay khác như tời khoan dầu khí, mài nhẵn các vật kim loại tỳ vật mài lên đá mài quay tròn...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Hư khớp khuỷ, khớp cổ tay</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11-30%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Hoại tử xương bán nguyệt</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11-30%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Bệnh gia hư khớp xương thuyền</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11-30%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Bệnh Raynaud nghề nghiệp: rối loạn thần kinh vận mạch ở các ngón, có kèm theo rối loạn cảm giác</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30 ngày</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21-40%</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Việc chẩn đoán xác định dựa vào:</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Yếu tố tiếp xúc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Hình ảnh X.quang, với các tổn thương hư khớp khuỷu, khớp cổ tay, các bệnh hoại tử xương cổ tay. - Nghiệm pháp lệnh dương tính.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4. Bệnh bụi phổi - bông (byssinosis):</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Lao động tiếp xúc với bụi bông trong việc xé bông, chải thô, làm sợi, bốc sợi, dệt sợi, vải, thu hoạch bông, tẽ hạt lấy bông... đối với bụi gai và đay: công việc cũng tương tự.</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 Hội chứng bệnh "ngày thứ hai" về lâm sàng: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Thể C2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21-40%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Thể C3 (+)</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Sự chẩn đoán xác định phải dựa vào chức năng hô hấp, với các thể bệnh F2 và F3</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Đối với thể không hồi phục, cho hít thở khi dung, chất giãn phế quản, thể tích thở ra tối đa giây không trở về bình thường.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Thể lâm sàng C2: Khó thở và tức ngực ở ngày lao động đầu tiên và các ngày khác trong tuần.</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Thể lâm sàng C3: Như thể C2 nhưng có biến đổi chức năng hô hấp thường xuyên.</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Thể F2: Biến đổi chức năng hô hấp, mãn tính, từ nhẹ đến trung bình.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Thể F3: Biến đổi chức năng hô hấp, mãn tính, từ trung bình đến nặng.</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 Bệnh lao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Những 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Công việc phải tiếp xúc với súc vật bị bệnh lao hoặc mang vi khuẩn lao.</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lò sát sinh, các cửa hàng bán thịt.</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Các thao tác xử lý máu, xương, sừng, da súc vật.</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tác thú y.</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phải tiếp xúc với bệnh nhân lao.</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các phòng thí nghiệm vi khuẩn ở các bệnh viện lao. Công việc lấy bệnh phẩm: đờm, máu, phân, tiếp xúc với chất thải hoặc đồ đạc bị nhiễm bệnh...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Bệnh lao da</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21-40%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Bệnh lao hạch</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21-40%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Lao màng hoạt dịch</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21-40%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 Lao xương khớp</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Lao màng phổi</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Lao phổi</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31-60%</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Chẩn đoán xác định dựa vào lâm sàng, X quang, xét nghiệm vi sinh vật, giải phẫu bệnh lý... tuỳ theo các thể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Bệnh viêm gan do vi rút nghề nghiệp:</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Phải tiếp xúc nghề nghiệp với bệnh nhân viêm gan do virut (VGVR, bệnh phẩm máu, và các vật phẩm ô nhiễm...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Viêm gan do vi rút A và B</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Chẩn đoán dựa vào lâm sàng, xét nghiệm men SGPT, xét nghiệm miễn dịch HBsAg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11-40%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Xơ gan sau VGVR</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 tháng</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31-100%</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7. Bệnh do leptospira nghề nghiệp: Những 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các hầm mỏ, hầm hào, hang hố, cống rãnh.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lò sát sinh, đặc biệt là những người giết, mổ súc vật...</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các nhà máy sản xuất thịt, cá hộp, chế biến sữa và phomát.</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phải tiếp xúc với súc vật như: chăn nuôi, thú y.</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các nhà máy sản xuất bia, rượu.</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các hàng thịt, hàng cá.</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ở vùng đầm lầy, suối, ruộng, ao hồ.</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Công việc trong ngành lâm nghiệp: đào mương, kênh, làm thuỷ lợi.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Các thể bệnh sốt do leptospira Việc chẩn đoán xác định phải kết hợp với xét nghiệm huyết thanh đặc hiệu xác định chung leptospira gây bệnh.</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 ngày</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11-30%</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8. Bệnh nhiễm độc TNT (trinitrotluene):</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Công việc có thể gây bệnh:</w:t>
      </w:r>
    </w:p>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Nấu, đổ, câu, nhồi TNT vào quả đạn, bảo quản bao gói khối thuốc TNT, sản phẩm TNTA, khoan ép, móc zen quả đạn, nhựa TNT cạm TNT ở quả đạn, nghiền sàng, đập, sảy, TNT, nấu, lọc TNT bẩn để lấy TNT nguyên chất, xì nóng đạn, lựu đạn, mìn để lấy TNT, gắn bánh thuốc TNT phụ, bắn thử lựu đạn, mìn, dùng TNT trong bắn mìn phá đá, khai thác mỏ, làm đường... và các công việc khác có tiếp xúc với TNT.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68"/>
        <w:gridCol w:w="1439"/>
        <w:gridCol w:w="2623"/>
      </w:tblGrid>
      <w:tr w:rsidR="00241598" w:rsidRPr="00241598" w:rsidTr="00241598">
        <w:trPr>
          <w:tblCellSpacing w:w="0" w:type="dxa"/>
        </w:trPr>
        <w:tc>
          <w:tcPr>
            <w:tcW w:w="4935" w:type="dxa"/>
            <w:tcBorders>
              <w:top w:val="single" w:sz="8" w:space="0" w:color="auto"/>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Hội chứng bệnh</w:t>
            </w:r>
          </w:p>
        </w:tc>
        <w:tc>
          <w:tcPr>
            <w:tcW w:w="127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Thời gian bảo đảm</w:t>
            </w:r>
          </w:p>
        </w:tc>
        <w:tc>
          <w:tcPr>
            <w:tcW w:w="2325" w:type="dxa"/>
            <w:tcBorders>
              <w:top w:val="single" w:sz="8" w:space="0" w:color="auto"/>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Tỷ lệ mất khả năng</w:t>
            </w:r>
            <w:r w:rsidRPr="00241598">
              <w:rPr>
                <w:rFonts w:ascii="Times New Roman" w:eastAsia="Times New Roman" w:hAnsi="Times New Roman" w:cs="Times New Roman"/>
                <w:color w:val="000000"/>
                <w:sz w:val="24"/>
                <w:szCs w:val="24"/>
              </w:rPr>
              <w:br/>
              <w:t>lao động</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Tổn thương máu và cơ quan tạo máu (hồng cầu số lượng dưới 3 triệu, huyết sắc tố dưới 10g%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Suy tuỵ</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61-100%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Tổn thương gan</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Viêm gan mạn thể tồn tại</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Viêm gan mạn thể tấn công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31-80%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Xơ gan</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61-100%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Đục nhân mắt 1 bên</w:t>
            </w:r>
          </w:p>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Đục nhân mắt 2 bên</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Tuỳ tình trạng thị lực (tính như các bệnh</w:t>
            </w:r>
            <w:r w:rsidRPr="00241598">
              <w:rPr>
                <w:rFonts w:ascii="Times New Roman" w:eastAsia="Times New Roman" w:hAnsi="Times New Roman" w:cs="Times New Roman"/>
                <w:color w:val="000000"/>
                <w:sz w:val="24"/>
                <w:szCs w:val="24"/>
              </w:rPr>
              <w:br/>
              <w:t>về mắt)</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Tổn thương niêm mạc đường tiêu hoá</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5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Viêm loét dạ dày - tá tràng</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Viêm đại tràng mạn tính</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21-60%</w:t>
            </w:r>
          </w:p>
        </w:tc>
      </w:tr>
      <w:tr w:rsidR="00241598" w:rsidRPr="00241598" w:rsidTr="00241598">
        <w:trPr>
          <w:tblCellSpacing w:w="0" w:type="dxa"/>
        </w:trPr>
        <w:tc>
          <w:tcPr>
            <w:tcW w:w="4935" w:type="dxa"/>
            <w:tcBorders>
              <w:top w:val="nil"/>
              <w:left w:val="single" w:sz="8" w:space="0" w:color="auto"/>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 Suy nhược thần kinh</w:t>
            </w:r>
          </w:p>
        </w:tc>
        <w:tc>
          <w:tcPr>
            <w:tcW w:w="127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1 năm</w:t>
            </w:r>
          </w:p>
        </w:tc>
        <w:tc>
          <w:tcPr>
            <w:tcW w:w="2325" w:type="dxa"/>
            <w:tcBorders>
              <w:top w:val="nil"/>
              <w:left w:val="nil"/>
              <w:bottom w:val="single" w:sz="8" w:space="0" w:color="auto"/>
              <w:right w:val="single" w:sz="8" w:space="0" w:color="auto"/>
            </w:tcBorders>
            <w:shd w:val="clear" w:color="auto" w:fill="FFFFFF"/>
            <w:tcMar>
              <w:top w:w="28" w:type="dxa"/>
              <w:left w:w="115" w:type="dxa"/>
              <w:bottom w:w="28" w:type="dxa"/>
              <w:right w:w="115" w:type="dxa"/>
            </w:tcMar>
            <w:hideMark/>
          </w:tcPr>
          <w:p w:rsidR="00241598" w:rsidRPr="00241598" w:rsidRDefault="00241598" w:rsidP="00241598">
            <w:pPr>
              <w:spacing w:after="120" w:line="260" w:lineRule="atLeast"/>
              <w:jc w:val="center"/>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t>21-60%</w:t>
            </w:r>
          </w:p>
        </w:tc>
      </w:tr>
    </w:tbl>
    <w:p w:rsidR="00241598" w:rsidRPr="00241598" w:rsidRDefault="00241598" w:rsidP="00241598">
      <w:pPr>
        <w:shd w:val="clear" w:color="auto" w:fill="FFFFFF"/>
        <w:spacing w:after="120" w:line="260" w:lineRule="atLeast"/>
        <w:rPr>
          <w:rFonts w:ascii="Times New Roman" w:eastAsia="Times New Roman" w:hAnsi="Times New Roman" w:cs="Times New Roman"/>
          <w:color w:val="000000"/>
          <w:sz w:val="24"/>
          <w:szCs w:val="24"/>
        </w:rPr>
      </w:pPr>
      <w:r w:rsidRPr="00241598">
        <w:rPr>
          <w:rFonts w:ascii="Times New Roman" w:eastAsia="Times New Roman" w:hAnsi="Times New Roman" w:cs="Times New Roman"/>
          <w:color w:val="000000"/>
          <w:sz w:val="24"/>
          <w:szCs w:val="24"/>
        </w:rPr>
        <w:lastRenderedPageBreak/>
        <w:t>Việc xác định chẩn đoán phải dựa vào yếu tố tiếp xúc, khám nghiệm lâm sàng, làm công thức máu, định lượng Hb, MetHb, tiêu thể Heinz, chụp X. quang dạ dày, định lượng men transaminaza...</w:t>
      </w:r>
    </w:p>
    <w:p w:rsidR="00B01EB3" w:rsidRPr="00241598" w:rsidRDefault="00B01EB3" w:rsidP="00241598">
      <w:pPr>
        <w:rPr>
          <w:rFonts w:ascii="Times New Roman" w:hAnsi="Times New Roman" w:cs="Times New Roman"/>
          <w:sz w:val="24"/>
          <w:szCs w:val="24"/>
        </w:rPr>
      </w:pPr>
    </w:p>
    <w:sectPr w:rsidR="00B01EB3" w:rsidRPr="002415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3D" w:rsidRDefault="00B0163D" w:rsidP="00241598">
      <w:pPr>
        <w:spacing w:after="0" w:line="240" w:lineRule="auto"/>
      </w:pPr>
      <w:r>
        <w:separator/>
      </w:r>
    </w:p>
  </w:endnote>
  <w:endnote w:type="continuationSeparator" w:id="0">
    <w:p w:rsidR="00B0163D" w:rsidRDefault="00B0163D" w:rsidP="0024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5E" w:rsidRDefault="00503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68890"/>
      <w:docPartObj>
        <w:docPartGallery w:val="Page Numbers (Bottom of Page)"/>
        <w:docPartUnique/>
      </w:docPartObj>
    </w:sdtPr>
    <w:sdtEndPr>
      <w:rPr>
        <w:noProof/>
      </w:rPr>
    </w:sdtEndPr>
    <w:sdtContent>
      <w:p w:rsidR="00241598" w:rsidRDefault="00241598" w:rsidP="00241598">
        <w:pPr>
          <w:pStyle w:val="Footer"/>
          <w:tabs>
            <w:tab w:val="left" w:pos="615"/>
          </w:tabs>
          <w:jc w:val="center"/>
        </w:pPr>
        <w:r>
          <w:tab/>
        </w:r>
        <w:r>
          <w:tab/>
        </w:r>
        <w:r>
          <w:tab/>
        </w:r>
        <w:r>
          <w:fldChar w:fldCharType="begin"/>
        </w:r>
        <w:r>
          <w:instrText xml:space="preserve"> PAGE   \* MERGEFORMAT </w:instrText>
        </w:r>
        <w:r>
          <w:fldChar w:fldCharType="separate"/>
        </w:r>
        <w:r w:rsidR="0050355E">
          <w:rPr>
            <w:noProof/>
          </w:rPr>
          <w:t>1</w:t>
        </w:r>
        <w:r>
          <w:rPr>
            <w:noProof/>
          </w:rPr>
          <w:fldChar w:fldCharType="end"/>
        </w:r>
      </w:p>
    </w:sdtContent>
  </w:sdt>
  <w:p w:rsidR="00241598" w:rsidRPr="00A67571" w:rsidRDefault="00241598" w:rsidP="00241598">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241598" w:rsidRDefault="002415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5E" w:rsidRDefault="00503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3D" w:rsidRDefault="00B0163D" w:rsidP="00241598">
      <w:pPr>
        <w:spacing w:after="0" w:line="240" w:lineRule="auto"/>
      </w:pPr>
      <w:r>
        <w:separator/>
      </w:r>
    </w:p>
  </w:footnote>
  <w:footnote w:type="continuationSeparator" w:id="0">
    <w:p w:rsidR="00B0163D" w:rsidRDefault="00B0163D" w:rsidP="00241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5E" w:rsidRDefault="00503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41598" w:rsidRPr="00A67571" w:rsidTr="004561AD">
      <w:trPr>
        <w:trHeight w:val="1208"/>
      </w:trPr>
      <w:tc>
        <w:tcPr>
          <w:tcW w:w="2411" w:type="dxa"/>
          <w:tcBorders>
            <w:top w:val="nil"/>
            <w:left w:val="nil"/>
            <w:bottom w:val="single" w:sz="4" w:space="0" w:color="auto"/>
            <w:right w:val="nil"/>
          </w:tcBorders>
          <w:vAlign w:val="center"/>
          <w:hideMark/>
        </w:tcPr>
        <w:p w:rsidR="00241598" w:rsidRPr="00A67571" w:rsidRDefault="00241598" w:rsidP="004561A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EA9FA29" wp14:editId="29EEBCF4">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0355E" w:rsidRDefault="0050355E" w:rsidP="0050355E">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0355E" w:rsidRDefault="0050355E" w:rsidP="0050355E">
          <w:pPr>
            <w:rPr>
              <w:rFonts w:ascii="Times New Roman" w:hAnsi="Times New Roman"/>
              <w:sz w:val="20"/>
            </w:rPr>
          </w:pPr>
          <w:r>
            <w:rPr>
              <w:sz w:val="20"/>
            </w:rPr>
            <w:t>89 To Vinh Dien Street, Thanh Xuan District, Hanoi City, Viet Nam</w:t>
          </w:r>
        </w:p>
        <w:p w:rsidR="0050355E" w:rsidRDefault="0050355E" w:rsidP="0050355E">
          <w:pPr>
            <w:rPr>
              <w:sz w:val="20"/>
            </w:rPr>
          </w:pPr>
          <w:r>
            <w:rPr>
              <w:sz w:val="20"/>
            </w:rPr>
            <w:t>Tel:   1900.6568        Fax: 024.73.000.111</w:t>
          </w:r>
        </w:p>
        <w:p w:rsidR="00241598" w:rsidRPr="00A67571" w:rsidRDefault="0050355E" w:rsidP="0050355E">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241598" w:rsidRDefault="002415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5E" w:rsidRDefault="00503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98"/>
    <w:rsid w:val="00241598"/>
    <w:rsid w:val="0050355E"/>
    <w:rsid w:val="00AC5AB4"/>
    <w:rsid w:val="00B0163D"/>
    <w:rsid w:val="00B0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D9C73-75B4-4DE4-8A62-23EBBF1D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24159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1598"/>
  </w:style>
  <w:style w:type="paragraph" w:styleId="NormalWeb">
    <w:name w:val="Normal (Web)"/>
    <w:basedOn w:val="Normal"/>
    <w:uiPriority w:val="99"/>
    <w:unhideWhenUsed/>
    <w:rsid w:val="002415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41598"/>
    <w:pPr>
      <w:tabs>
        <w:tab w:val="center" w:pos="4680"/>
        <w:tab w:val="right" w:pos="9360"/>
      </w:tabs>
      <w:spacing w:after="0" w:line="240" w:lineRule="auto"/>
    </w:pPr>
  </w:style>
  <w:style w:type="character" w:customStyle="1" w:styleId="HeaderChar">
    <w:name w:val="Header Char"/>
    <w:basedOn w:val="DefaultParagraphFont"/>
    <w:link w:val="Header"/>
    <w:rsid w:val="00241598"/>
  </w:style>
  <w:style w:type="paragraph" w:styleId="Footer">
    <w:name w:val="footer"/>
    <w:basedOn w:val="Normal"/>
    <w:link w:val="FooterChar"/>
    <w:uiPriority w:val="99"/>
    <w:unhideWhenUsed/>
    <w:rsid w:val="0024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98"/>
  </w:style>
  <w:style w:type="character" w:customStyle="1" w:styleId="Heading6Char">
    <w:name w:val="Heading 6 Char"/>
    <w:basedOn w:val="DefaultParagraphFont"/>
    <w:link w:val="Heading6"/>
    <w:semiHidden/>
    <w:rsid w:val="00241598"/>
    <w:rPr>
      <w:rFonts w:ascii="Calibri" w:eastAsia="Times New Roman" w:hAnsi="Calibri" w:cs="Times New Roman"/>
      <w:b/>
      <w:bCs/>
    </w:rPr>
  </w:style>
  <w:style w:type="character" w:styleId="Hyperlink">
    <w:name w:val="Hyperlink"/>
    <w:uiPriority w:val="99"/>
    <w:unhideWhenUsed/>
    <w:rsid w:val="00241598"/>
    <w:rPr>
      <w:color w:val="0000FF"/>
      <w:u w:val="single"/>
    </w:rPr>
  </w:style>
  <w:style w:type="paragraph" w:styleId="BalloonText">
    <w:name w:val="Balloon Text"/>
    <w:basedOn w:val="Normal"/>
    <w:link w:val="BalloonTextChar"/>
    <w:uiPriority w:val="99"/>
    <w:semiHidden/>
    <w:unhideWhenUsed/>
    <w:rsid w:val="0024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780">
      <w:bodyDiv w:val="1"/>
      <w:marLeft w:val="0"/>
      <w:marRight w:val="0"/>
      <w:marTop w:val="0"/>
      <w:marBottom w:val="0"/>
      <w:divBdr>
        <w:top w:val="none" w:sz="0" w:space="0" w:color="auto"/>
        <w:left w:val="none" w:sz="0" w:space="0" w:color="auto"/>
        <w:bottom w:val="none" w:sz="0" w:space="0" w:color="auto"/>
        <w:right w:val="none" w:sz="0" w:space="0" w:color="auto"/>
      </w:divBdr>
    </w:div>
    <w:div w:id="284430165">
      <w:bodyDiv w:val="1"/>
      <w:marLeft w:val="0"/>
      <w:marRight w:val="0"/>
      <w:marTop w:val="0"/>
      <w:marBottom w:val="0"/>
      <w:divBdr>
        <w:top w:val="none" w:sz="0" w:space="0" w:color="auto"/>
        <w:left w:val="none" w:sz="0" w:space="0" w:color="auto"/>
        <w:bottom w:val="none" w:sz="0" w:space="0" w:color="auto"/>
        <w:right w:val="none" w:sz="0" w:space="0" w:color="auto"/>
      </w:divBdr>
    </w:div>
    <w:div w:id="1052002392">
      <w:bodyDiv w:val="1"/>
      <w:marLeft w:val="0"/>
      <w:marRight w:val="0"/>
      <w:marTop w:val="0"/>
      <w:marBottom w:val="0"/>
      <w:divBdr>
        <w:top w:val="none" w:sz="0" w:space="0" w:color="auto"/>
        <w:left w:val="none" w:sz="0" w:space="0" w:color="auto"/>
        <w:bottom w:val="none" w:sz="0" w:space="0" w:color="auto"/>
        <w:right w:val="none" w:sz="0" w:space="0" w:color="auto"/>
      </w:divBdr>
      <w:divsChild>
        <w:div w:id="1943605834">
          <w:marLeft w:val="0"/>
          <w:marRight w:val="0"/>
          <w:marTop w:val="0"/>
          <w:marBottom w:val="0"/>
          <w:divBdr>
            <w:top w:val="none" w:sz="0" w:space="0" w:color="auto"/>
            <w:left w:val="none" w:sz="0" w:space="0" w:color="auto"/>
            <w:bottom w:val="none" w:sz="0" w:space="0" w:color="auto"/>
            <w:right w:val="none" w:sz="0" w:space="0" w:color="auto"/>
          </w:divBdr>
        </w:div>
        <w:div w:id="460197603">
          <w:marLeft w:val="0"/>
          <w:marRight w:val="0"/>
          <w:marTop w:val="0"/>
          <w:marBottom w:val="0"/>
          <w:divBdr>
            <w:top w:val="none" w:sz="0" w:space="0" w:color="auto"/>
            <w:left w:val="none" w:sz="0" w:space="0" w:color="auto"/>
            <w:bottom w:val="none" w:sz="0" w:space="0" w:color="auto"/>
            <w:right w:val="none" w:sz="0" w:space="0" w:color="auto"/>
          </w:divBdr>
        </w:div>
        <w:div w:id="595944974">
          <w:marLeft w:val="0"/>
          <w:marRight w:val="0"/>
          <w:marTop w:val="0"/>
          <w:marBottom w:val="0"/>
          <w:divBdr>
            <w:top w:val="none" w:sz="0" w:space="0" w:color="auto"/>
            <w:left w:val="none" w:sz="0" w:space="0" w:color="auto"/>
            <w:bottom w:val="none" w:sz="0" w:space="0" w:color="auto"/>
            <w:right w:val="none" w:sz="0" w:space="0" w:color="auto"/>
          </w:divBdr>
        </w:div>
        <w:div w:id="119727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THANG</dc:creator>
  <cp:lastModifiedBy>Admin</cp:lastModifiedBy>
  <cp:revision>2</cp:revision>
  <dcterms:created xsi:type="dcterms:W3CDTF">2015-07-24T12:13:00Z</dcterms:created>
  <dcterms:modified xsi:type="dcterms:W3CDTF">2020-08-26T02:28:00Z</dcterms:modified>
</cp:coreProperties>
</file>