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2C7" w:rsidRPr="00D20138" w:rsidRDefault="00DD72C7" w:rsidP="00DD72C7">
      <w:pPr>
        <w:spacing w:before="120" w:after="120" w:line="360" w:lineRule="auto"/>
        <w:jc w:val="both"/>
        <w:rPr>
          <w:lang w:val="nl-NL"/>
        </w:rPr>
      </w:pPr>
    </w:p>
    <w:p w:rsidR="00DD72C7" w:rsidRPr="004A3D87" w:rsidRDefault="00DD72C7" w:rsidP="00DD72C7">
      <w:pPr>
        <w:spacing w:before="120" w:after="120" w:line="360" w:lineRule="auto"/>
        <w:jc w:val="center"/>
        <w:rPr>
          <w:b/>
          <w:sz w:val="28"/>
          <w:szCs w:val="28"/>
          <w:lang w:val="nl-NL"/>
        </w:rPr>
      </w:pPr>
      <w:r w:rsidRPr="004A3D87">
        <w:rPr>
          <w:b/>
          <w:sz w:val="28"/>
          <w:szCs w:val="28"/>
          <w:lang w:val="nl-NL"/>
        </w:rPr>
        <w:t>QUYẾT ĐỊNH</w:t>
      </w:r>
    </w:p>
    <w:p w:rsidR="00DD72C7" w:rsidRDefault="00DD72C7" w:rsidP="00DD72C7">
      <w:pPr>
        <w:spacing w:before="120" w:after="120" w:line="360" w:lineRule="auto"/>
        <w:jc w:val="center"/>
        <w:rPr>
          <w:b/>
          <w:sz w:val="28"/>
          <w:szCs w:val="28"/>
          <w:lang w:val="nl-NL"/>
        </w:rPr>
      </w:pPr>
      <w:r w:rsidRPr="00562084">
        <w:rPr>
          <w:b/>
          <w:sz w:val="28"/>
          <w:szCs w:val="28"/>
          <w:lang w:val="nl-NL"/>
        </w:rPr>
        <w:t xml:space="preserve">Về </w:t>
      </w:r>
      <w:r>
        <w:rPr>
          <w:b/>
          <w:sz w:val="28"/>
          <w:szCs w:val="28"/>
          <w:lang w:val="nl-NL"/>
        </w:rPr>
        <w:t>việc nâng</w:t>
      </w:r>
      <w:r w:rsidRPr="00562084">
        <w:rPr>
          <w:b/>
          <w:sz w:val="28"/>
          <w:szCs w:val="28"/>
          <w:lang w:val="nl-NL"/>
        </w:rPr>
        <w:t xml:space="preserve"> </w:t>
      </w:r>
      <w:r>
        <w:rPr>
          <w:b/>
          <w:sz w:val="28"/>
          <w:szCs w:val="28"/>
          <w:lang w:val="nl-NL"/>
        </w:rPr>
        <w:t xml:space="preserve">mức </w:t>
      </w:r>
      <w:r w:rsidRPr="00562084">
        <w:rPr>
          <w:b/>
          <w:sz w:val="28"/>
          <w:szCs w:val="28"/>
          <w:lang w:val="nl-NL"/>
        </w:rPr>
        <w:t>hỗ</w:t>
      </w:r>
      <w:r>
        <w:rPr>
          <w:b/>
          <w:sz w:val="28"/>
          <w:szCs w:val="28"/>
          <w:lang w:val="nl-NL"/>
        </w:rPr>
        <w:t xml:space="preserve"> </w:t>
      </w:r>
      <w:r w:rsidRPr="00562084">
        <w:rPr>
          <w:b/>
          <w:sz w:val="28"/>
          <w:szCs w:val="28"/>
          <w:lang w:val="nl-NL"/>
        </w:rPr>
        <w:t>trợ đóng bảo hiểm y</w:t>
      </w:r>
      <w:r>
        <w:rPr>
          <w:b/>
          <w:sz w:val="28"/>
          <w:szCs w:val="28"/>
          <w:lang w:val="nl-NL"/>
        </w:rPr>
        <w:t xml:space="preserve"> </w:t>
      </w:r>
      <w:r w:rsidRPr="00562084">
        <w:rPr>
          <w:b/>
          <w:sz w:val="28"/>
          <w:szCs w:val="28"/>
          <w:lang w:val="nl-NL"/>
        </w:rPr>
        <w:t>tế</w:t>
      </w:r>
    </w:p>
    <w:p w:rsidR="00DD72C7" w:rsidRPr="00562084" w:rsidRDefault="00DD72C7" w:rsidP="00DD72C7">
      <w:pPr>
        <w:spacing w:before="120" w:after="120" w:line="360" w:lineRule="auto"/>
        <w:jc w:val="center"/>
        <w:rPr>
          <w:b/>
          <w:sz w:val="28"/>
          <w:szCs w:val="28"/>
          <w:lang w:val="nl-NL"/>
        </w:rPr>
      </w:pPr>
      <w:r>
        <w:rPr>
          <w:b/>
          <w:sz w:val="28"/>
          <w:szCs w:val="28"/>
          <w:lang w:val="nl-NL"/>
        </w:rPr>
        <w:t>cho</w:t>
      </w:r>
      <w:r w:rsidRPr="00562084">
        <w:rPr>
          <w:b/>
          <w:sz w:val="28"/>
          <w:szCs w:val="28"/>
          <w:lang w:val="nl-NL"/>
        </w:rPr>
        <w:t xml:space="preserve"> n</w:t>
      </w:r>
      <w:r w:rsidRPr="00D20138">
        <w:rPr>
          <w:b/>
          <w:sz w:val="28"/>
          <w:szCs w:val="28"/>
          <w:lang w:val="nl-NL"/>
        </w:rPr>
        <w:t>gười thuộc hộ gia đình cận nghèo</w:t>
      </w:r>
    </w:p>
    <w:p w:rsidR="00DD72C7" w:rsidRPr="004A3D87" w:rsidRDefault="00DD72C7" w:rsidP="00DD72C7">
      <w:pPr>
        <w:spacing w:before="120" w:after="120" w:line="360" w:lineRule="auto"/>
        <w:ind w:firstLine="720"/>
        <w:jc w:val="both"/>
        <w:rPr>
          <w:sz w:val="28"/>
          <w:szCs w:val="28"/>
          <w:lang w:val="nl-NL"/>
        </w:rPr>
      </w:pPr>
    </w:p>
    <w:p w:rsidR="00DD72C7" w:rsidRPr="00F44E5D" w:rsidRDefault="00DD72C7" w:rsidP="00DD72C7">
      <w:pPr>
        <w:spacing w:before="120" w:after="120" w:line="360" w:lineRule="auto"/>
        <w:ind w:firstLine="720"/>
        <w:jc w:val="both"/>
        <w:rPr>
          <w:sz w:val="28"/>
          <w:szCs w:val="28"/>
          <w:lang w:val="nl-NL"/>
        </w:rPr>
      </w:pPr>
      <w:r w:rsidRPr="00F44E5D">
        <w:rPr>
          <w:sz w:val="28"/>
          <w:szCs w:val="28"/>
          <w:lang w:val="nl-NL"/>
        </w:rPr>
        <w:t>Căn cứ Luật Tổ chức Chính phủ ngày 25 tháng 12 năm 2001;</w:t>
      </w:r>
    </w:p>
    <w:p w:rsidR="00DD72C7" w:rsidRPr="00F44E5D" w:rsidRDefault="00DD72C7" w:rsidP="00DD72C7">
      <w:pPr>
        <w:spacing w:before="120" w:after="120" w:line="360" w:lineRule="auto"/>
        <w:ind w:firstLine="720"/>
        <w:jc w:val="both"/>
        <w:rPr>
          <w:b/>
          <w:sz w:val="28"/>
          <w:szCs w:val="28"/>
          <w:lang w:val="nl-NL"/>
        </w:rPr>
      </w:pPr>
      <w:r w:rsidRPr="00F44E5D">
        <w:rPr>
          <w:sz w:val="28"/>
          <w:szCs w:val="28"/>
          <w:lang w:val="nl-NL"/>
        </w:rPr>
        <w:t xml:space="preserve">Căn cứ Luật Bảo hiểm y tế ngày 14 tháng 11 năm 2008;  </w:t>
      </w:r>
    </w:p>
    <w:p w:rsidR="00DD72C7" w:rsidRDefault="00DD72C7" w:rsidP="00DD72C7">
      <w:pPr>
        <w:spacing w:before="120" w:after="120" w:line="360" w:lineRule="auto"/>
        <w:ind w:firstLine="720"/>
        <w:jc w:val="both"/>
        <w:rPr>
          <w:spacing w:val="-4"/>
          <w:sz w:val="28"/>
          <w:szCs w:val="28"/>
          <w:lang w:val="nl-NL"/>
        </w:rPr>
      </w:pPr>
      <w:r w:rsidRPr="009575EA">
        <w:rPr>
          <w:spacing w:val="-4"/>
          <w:sz w:val="28"/>
          <w:szCs w:val="28"/>
          <w:lang w:val="nl-NL"/>
        </w:rPr>
        <w:t xml:space="preserve">Căn cứ Nghị định số 62/2009/NĐ-CP ngày 27 tháng 7 năm 2009 của </w:t>
      </w:r>
      <w:r>
        <w:rPr>
          <w:spacing w:val="-4"/>
          <w:sz w:val="28"/>
          <w:szCs w:val="28"/>
          <w:lang w:val="nl-NL"/>
        </w:rPr>
        <w:t xml:space="preserve">              </w:t>
      </w:r>
    </w:p>
    <w:p w:rsidR="00DD72C7" w:rsidRPr="00F44E5D" w:rsidRDefault="00DD72C7" w:rsidP="00DD72C7">
      <w:pPr>
        <w:spacing w:before="120" w:after="120" w:line="360" w:lineRule="auto"/>
        <w:jc w:val="both"/>
        <w:rPr>
          <w:sz w:val="28"/>
          <w:szCs w:val="28"/>
          <w:lang w:val="nl-NL"/>
        </w:rPr>
      </w:pPr>
      <w:r>
        <w:rPr>
          <w:spacing w:val="-4"/>
          <w:sz w:val="28"/>
          <w:szCs w:val="28"/>
          <w:lang w:val="nl-NL"/>
        </w:rPr>
        <w:t xml:space="preserve">         </w:t>
      </w:r>
      <w:r w:rsidRPr="009575EA">
        <w:rPr>
          <w:spacing w:val="-4"/>
          <w:sz w:val="28"/>
          <w:szCs w:val="28"/>
          <w:lang w:val="nl-NL"/>
        </w:rPr>
        <w:t xml:space="preserve">Chính phủ quy </w:t>
      </w:r>
      <w:r w:rsidRPr="009575EA">
        <w:rPr>
          <w:rFonts w:hint="eastAsia"/>
          <w:spacing w:val="-4"/>
          <w:sz w:val="28"/>
          <w:szCs w:val="28"/>
          <w:lang w:val="nl-NL"/>
        </w:rPr>
        <w:t>đ</w:t>
      </w:r>
      <w:r w:rsidRPr="009575EA">
        <w:rPr>
          <w:spacing w:val="-4"/>
          <w:sz w:val="28"/>
          <w:szCs w:val="28"/>
          <w:lang w:val="nl-NL"/>
        </w:rPr>
        <w:t>ịnh chi tiết và h</w:t>
      </w:r>
      <w:r w:rsidRPr="009575EA">
        <w:rPr>
          <w:rFonts w:hint="eastAsia"/>
          <w:spacing w:val="-4"/>
          <w:sz w:val="28"/>
          <w:szCs w:val="28"/>
          <w:lang w:val="nl-NL"/>
        </w:rPr>
        <w:t>ư</w:t>
      </w:r>
      <w:r w:rsidRPr="009575EA">
        <w:rPr>
          <w:spacing w:val="-4"/>
          <w:sz w:val="28"/>
          <w:szCs w:val="28"/>
          <w:lang w:val="nl-NL"/>
        </w:rPr>
        <w:t xml:space="preserve">ớng dẫn thi hành một số </w:t>
      </w:r>
      <w:r w:rsidRPr="009575EA">
        <w:rPr>
          <w:rFonts w:hint="eastAsia"/>
          <w:spacing w:val="-4"/>
          <w:sz w:val="28"/>
          <w:szCs w:val="28"/>
          <w:lang w:val="nl-NL"/>
        </w:rPr>
        <w:t>đ</w:t>
      </w:r>
      <w:r w:rsidRPr="009575EA">
        <w:rPr>
          <w:spacing w:val="-4"/>
          <w:sz w:val="28"/>
          <w:szCs w:val="28"/>
          <w:lang w:val="nl-NL"/>
        </w:rPr>
        <w:t>iều của Luật</w:t>
      </w:r>
      <w:r>
        <w:rPr>
          <w:spacing w:val="-4"/>
          <w:sz w:val="28"/>
          <w:szCs w:val="28"/>
          <w:lang w:val="nl-NL"/>
        </w:rPr>
        <w:t xml:space="preserve">                          </w:t>
      </w:r>
      <w:r w:rsidRPr="009575EA">
        <w:rPr>
          <w:spacing w:val="-4"/>
          <w:sz w:val="28"/>
          <w:szCs w:val="28"/>
          <w:lang w:val="nl-NL"/>
        </w:rPr>
        <w:t>Bảo hiểm</w:t>
      </w:r>
      <w:r w:rsidRPr="00F44E5D">
        <w:rPr>
          <w:sz w:val="28"/>
          <w:szCs w:val="28"/>
          <w:lang w:val="nl-NL"/>
        </w:rPr>
        <w:t xml:space="preserve"> y tế;</w:t>
      </w:r>
    </w:p>
    <w:p w:rsidR="00DD72C7" w:rsidRDefault="00DD72C7" w:rsidP="00DD72C7">
      <w:pPr>
        <w:spacing w:before="120" w:after="120" w:line="360" w:lineRule="auto"/>
        <w:ind w:firstLine="720"/>
        <w:jc w:val="both"/>
        <w:rPr>
          <w:sz w:val="28"/>
          <w:szCs w:val="28"/>
          <w:lang w:val="nl-NL"/>
        </w:rPr>
      </w:pPr>
      <w:r w:rsidRPr="00F44E5D">
        <w:rPr>
          <w:sz w:val="28"/>
          <w:szCs w:val="28"/>
          <w:lang w:val="nl-NL"/>
        </w:rPr>
        <w:t>Xét đề nghị của Bộ trưởng Bộ Tài chính, Bộ trưởng Bộ Y tế,</w:t>
      </w:r>
    </w:p>
    <w:p w:rsidR="00DD72C7" w:rsidRPr="0052212A" w:rsidRDefault="00DD72C7" w:rsidP="00DD72C7">
      <w:pPr>
        <w:spacing w:before="120" w:after="120" w:line="360" w:lineRule="auto"/>
        <w:ind w:firstLine="720"/>
        <w:jc w:val="both"/>
        <w:rPr>
          <w:sz w:val="28"/>
          <w:szCs w:val="28"/>
          <w:lang w:val="nl-NL"/>
        </w:rPr>
      </w:pPr>
    </w:p>
    <w:p w:rsidR="00DD72C7" w:rsidRDefault="00DD72C7" w:rsidP="00DD72C7">
      <w:pPr>
        <w:spacing w:before="120" w:after="120" w:line="360" w:lineRule="auto"/>
        <w:rPr>
          <w:b/>
          <w:sz w:val="28"/>
          <w:szCs w:val="28"/>
          <w:lang w:val="nl-NL"/>
        </w:rPr>
      </w:pPr>
      <w:r w:rsidRPr="00F44E5D">
        <w:rPr>
          <w:b/>
          <w:sz w:val="28"/>
          <w:szCs w:val="28"/>
          <w:lang w:val="nl-NL"/>
        </w:rPr>
        <w:t>QUYẾT ĐỊNH:</w:t>
      </w:r>
    </w:p>
    <w:p w:rsidR="00DD72C7" w:rsidRPr="00D20138" w:rsidRDefault="00DD72C7" w:rsidP="00DD72C7">
      <w:pPr>
        <w:spacing w:before="120" w:after="120" w:line="360" w:lineRule="auto"/>
        <w:ind w:firstLine="720"/>
        <w:jc w:val="both"/>
        <w:rPr>
          <w:sz w:val="28"/>
          <w:szCs w:val="28"/>
          <w:lang w:val="nl-NL"/>
        </w:rPr>
      </w:pPr>
      <w:r w:rsidRPr="00D20138">
        <w:rPr>
          <w:b/>
          <w:sz w:val="28"/>
          <w:szCs w:val="28"/>
          <w:lang w:val="nl-NL"/>
        </w:rPr>
        <w:t>Điều 1</w:t>
      </w:r>
      <w:r w:rsidRPr="00FF5F7A">
        <w:rPr>
          <w:b/>
          <w:sz w:val="28"/>
          <w:szCs w:val="28"/>
          <w:lang w:val="nl-NL"/>
        </w:rPr>
        <w:t xml:space="preserve">. </w:t>
      </w:r>
      <w:r w:rsidRPr="00E769E9">
        <w:rPr>
          <w:sz w:val="28"/>
          <w:szCs w:val="28"/>
          <w:lang w:val="nl-NL"/>
        </w:rPr>
        <w:t>Ngân sách nhà nước</w:t>
      </w:r>
      <w:r w:rsidRPr="00FF5F7A">
        <w:rPr>
          <w:sz w:val="28"/>
          <w:szCs w:val="28"/>
          <w:lang w:val="nl-NL"/>
        </w:rPr>
        <w:t xml:space="preserve"> hỗ trợ </w:t>
      </w:r>
      <w:r>
        <w:rPr>
          <w:sz w:val="28"/>
          <w:szCs w:val="28"/>
          <w:lang w:val="nl-NL"/>
        </w:rPr>
        <w:t>t</w:t>
      </w:r>
      <w:r w:rsidRPr="00E769E9">
        <w:rPr>
          <w:sz w:val="28"/>
          <w:szCs w:val="28"/>
          <w:lang w:val="nl-NL"/>
        </w:rPr>
        <w:t>ối</w:t>
      </w:r>
      <w:r>
        <w:rPr>
          <w:sz w:val="28"/>
          <w:szCs w:val="28"/>
          <w:lang w:val="nl-NL"/>
        </w:rPr>
        <w:t xml:space="preserve"> thi</w:t>
      </w:r>
      <w:r w:rsidRPr="00E769E9">
        <w:rPr>
          <w:sz w:val="28"/>
          <w:szCs w:val="28"/>
          <w:lang w:val="nl-NL"/>
        </w:rPr>
        <w:t>ểu</w:t>
      </w:r>
      <w:r>
        <w:rPr>
          <w:sz w:val="28"/>
          <w:szCs w:val="28"/>
          <w:lang w:val="nl-NL"/>
        </w:rPr>
        <w:t xml:space="preserve"> b</w:t>
      </w:r>
      <w:r w:rsidRPr="00E769E9">
        <w:rPr>
          <w:sz w:val="28"/>
          <w:szCs w:val="28"/>
          <w:lang w:val="nl-NL"/>
        </w:rPr>
        <w:t>ằng</w:t>
      </w:r>
      <w:r>
        <w:rPr>
          <w:sz w:val="28"/>
          <w:szCs w:val="28"/>
          <w:lang w:val="nl-NL"/>
        </w:rPr>
        <w:t xml:space="preserve"> </w:t>
      </w:r>
      <w:r w:rsidRPr="00D20138">
        <w:rPr>
          <w:sz w:val="28"/>
          <w:szCs w:val="28"/>
          <w:lang w:val="nl-NL"/>
        </w:rPr>
        <w:t>7</w:t>
      </w:r>
      <w:r w:rsidRPr="00FF5F7A">
        <w:rPr>
          <w:sz w:val="28"/>
          <w:szCs w:val="28"/>
          <w:lang w:val="vi-VN"/>
        </w:rPr>
        <w:t>0% mức đóng</w:t>
      </w:r>
      <w:r w:rsidRPr="00D20138">
        <w:rPr>
          <w:sz w:val="28"/>
          <w:szCs w:val="28"/>
          <w:lang w:val="nl-NL"/>
        </w:rPr>
        <w:t xml:space="preserve"> bảo hiểm y tế cho</w:t>
      </w:r>
      <w:r w:rsidRPr="00FF5F7A">
        <w:rPr>
          <w:sz w:val="28"/>
          <w:szCs w:val="28"/>
          <w:lang w:val="nl-NL"/>
        </w:rPr>
        <w:t xml:space="preserve"> n</w:t>
      </w:r>
      <w:r w:rsidRPr="00D20138">
        <w:rPr>
          <w:sz w:val="28"/>
          <w:szCs w:val="28"/>
          <w:lang w:val="nl-NL"/>
        </w:rPr>
        <w:t>gười thuộc hộ gia đình cận nghèo (theo chuẩn nghèo quốc gia),</w:t>
      </w:r>
      <w:r w:rsidRPr="00FF5F7A">
        <w:rPr>
          <w:sz w:val="28"/>
          <w:szCs w:val="28"/>
          <w:lang w:val="vi-VN"/>
        </w:rPr>
        <w:t xml:space="preserve"> </w:t>
      </w:r>
      <w:r w:rsidRPr="00D20138">
        <w:rPr>
          <w:sz w:val="28"/>
          <w:szCs w:val="28"/>
          <w:lang w:val="nl-NL"/>
        </w:rPr>
        <w:t xml:space="preserve">kể </w:t>
      </w:r>
      <w:r w:rsidRPr="00FF5F7A">
        <w:rPr>
          <w:sz w:val="28"/>
          <w:szCs w:val="28"/>
          <w:lang w:val="vi-VN"/>
        </w:rPr>
        <w:t>từ ngày 01 tháng 01 năm 201</w:t>
      </w:r>
      <w:r w:rsidRPr="00D20138">
        <w:rPr>
          <w:sz w:val="28"/>
          <w:szCs w:val="28"/>
          <w:lang w:val="nl-NL"/>
        </w:rPr>
        <w:t>2.</w:t>
      </w:r>
    </w:p>
    <w:p w:rsidR="00DD72C7" w:rsidRPr="00881BB0" w:rsidRDefault="00DD72C7" w:rsidP="00DD72C7">
      <w:pPr>
        <w:spacing w:before="120" w:after="120" w:line="360" w:lineRule="auto"/>
        <w:ind w:firstLine="720"/>
        <w:jc w:val="both"/>
        <w:rPr>
          <w:sz w:val="28"/>
          <w:szCs w:val="28"/>
          <w:lang w:val="nl-NL"/>
        </w:rPr>
      </w:pPr>
      <w:r w:rsidRPr="00035223">
        <w:rPr>
          <w:b/>
          <w:sz w:val="28"/>
          <w:szCs w:val="28"/>
          <w:lang w:val="nl-NL"/>
        </w:rPr>
        <w:t>Điều 2.</w:t>
      </w:r>
      <w:r w:rsidRPr="00FF5F7A">
        <w:rPr>
          <w:sz w:val="28"/>
          <w:szCs w:val="28"/>
          <w:lang w:val="nl-NL"/>
        </w:rPr>
        <w:t xml:space="preserve"> Nguồn kinh phí hỗ trợ mức đóng bảo hiểm y tế cho n</w:t>
      </w:r>
      <w:r w:rsidRPr="00881BB0">
        <w:rPr>
          <w:sz w:val="28"/>
          <w:szCs w:val="28"/>
          <w:lang w:val="nl-NL"/>
        </w:rPr>
        <w:t>gười thuộc hộ gia đình cận nghèo</w:t>
      </w:r>
    </w:p>
    <w:p w:rsidR="00DD72C7" w:rsidRPr="00881BB0" w:rsidRDefault="00DD72C7" w:rsidP="00DD72C7">
      <w:pPr>
        <w:spacing w:before="120" w:after="120" w:line="360" w:lineRule="auto"/>
        <w:ind w:firstLine="720"/>
        <w:jc w:val="both"/>
        <w:rPr>
          <w:sz w:val="28"/>
          <w:szCs w:val="28"/>
          <w:lang w:val="nl-NL"/>
        </w:rPr>
      </w:pPr>
      <w:r w:rsidRPr="00881BB0">
        <w:rPr>
          <w:sz w:val="28"/>
          <w:szCs w:val="28"/>
          <w:lang w:val="nl-NL"/>
        </w:rPr>
        <w:t>1. Ngân sách trung ương hỗ trợ</w:t>
      </w:r>
      <w:r>
        <w:rPr>
          <w:sz w:val="28"/>
          <w:szCs w:val="28"/>
          <w:lang w:val="nl-NL"/>
        </w:rPr>
        <w:t xml:space="preserve"> </w:t>
      </w:r>
      <w:r w:rsidRPr="00881BB0">
        <w:rPr>
          <w:sz w:val="28"/>
          <w:szCs w:val="28"/>
          <w:lang w:val="nl-NL"/>
        </w:rPr>
        <w:t xml:space="preserve">70% </w:t>
      </w:r>
      <w:r>
        <w:rPr>
          <w:sz w:val="28"/>
          <w:szCs w:val="28"/>
          <w:lang w:val="nl-NL"/>
        </w:rPr>
        <w:t>m</w:t>
      </w:r>
      <w:r w:rsidRPr="00881BB0">
        <w:rPr>
          <w:sz w:val="28"/>
          <w:szCs w:val="28"/>
          <w:lang w:val="nl-NL"/>
        </w:rPr>
        <w:t>ệnh</w:t>
      </w:r>
      <w:r>
        <w:rPr>
          <w:sz w:val="28"/>
          <w:szCs w:val="28"/>
          <w:lang w:val="nl-NL"/>
        </w:rPr>
        <w:t xml:space="preserve"> giá mua th</w:t>
      </w:r>
      <w:r w:rsidRPr="00881BB0">
        <w:rPr>
          <w:sz w:val="28"/>
          <w:szCs w:val="28"/>
          <w:lang w:val="nl-NL"/>
        </w:rPr>
        <w:t>ẻ</w:t>
      </w:r>
      <w:r>
        <w:rPr>
          <w:sz w:val="28"/>
          <w:szCs w:val="28"/>
          <w:lang w:val="nl-NL"/>
        </w:rPr>
        <w:t xml:space="preserve"> b</w:t>
      </w:r>
      <w:r w:rsidRPr="00881BB0">
        <w:rPr>
          <w:sz w:val="28"/>
          <w:szCs w:val="28"/>
          <w:lang w:val="nl-NL"/>
        </w:rPr>
        <w:t>ảo</w:t>
      </w:r>
      <w:r>
        <w:rPr>
          <w:sz w:val="28"/>
          <w:szCs w:val="28"/>
          <w:lang w:val="nl-NL"/>
        </w:rPr>
        <w:t xml:space="preserve"> hi</w:t>
      </w:r>
      <w:r w:rsidRPr="00881BB0">
        <w:rPr>
          <w:sz w:val="28"/>
          <w:szCs w:val="28"/>
          <w:lang w:val="nl-NL"/>
        </w:rPr>
        <w:t>ểm</w:t>
      </w:r>
      <w:r>
        <w:rPr>
          <w:sz w:val="28"/>
          <w:szCs w:val="28"/>
          <w:lang w:val="nl-NL"/>
        </w:rPr>
        <w:t xml:space="preserve"> y t</w:t>
      </w:r>
      <w:r w:rsidRPr="00881BB0">
        <w:rPr>
          <w:sz w:val="28"/>
          <w:szCs w:val="28"/>
          <w:lang w:val="nl-NL"/>
        </w:rPr>
        <w:t>ế</w:t>
      </w:r>
      <w:r>
        <w:rPr>
          <w:sz w:val="28"/>
          <w:szCs w:val="28"/>
          <w:lang w:val="nl-NL"/>
        </w:rPr>
        <w:t xml:space="preserve"> cho ng</w:t>
      </w:r>
      <w:r w:rsidRPr="00881BB0">
        <w:rPr>
          <w:sz w:val="28"/>
          <w:szCs w:val="28"/>
          <w:lang w:val="nl-NL"/>
        </w:rPr>
        <w:t>ười</w:t>
      </w:r>
      <w:r>
        <w:rPr>
          <w:sz w:val="28"/>
          <w:szCs w:val="28"/>
          <w:lang w:val="nl-NL"/>
        </w:rPr>
        <w:t xml:space="preserve"> thu</w:t>
      </w:r>
      <w:r w:rsidRPr="00881BB0">
        <w:rPr>
          <w:sz w:val="28"/>
          <w:szCs w:val="28"/>
          <w:lang w:val="nl-NL"/>
        </w:rPr>
        <w:t>ộc</w:t>
      </w:r>
      <w:r>
        <w:rPr>
          <w:sz w:val="28"/>
          <w:szCs w:val="28"/>
          <w:lang w:val="nl-NL"/>
        </w:rPr>
        <w:t xml:space="preserve"> h</w:t>
      </w:r>
      <w:r w:rsidRPr="00881BB0">
        <w:rPr>
          <w:sz w:val="28"/>
          <w:szCs w:val="28"/>
          <w:lang w:val="nl-NL"/>
        </w:rPr>
        <w:t>ộ</w:t>
      </w:r>
      <w:r>
        <w:rPr>
          <w:sz w:val="28"/>
          <w:szCs w:val="28"/>
          <w:lang w:val="nl-NL"/>
        </w:rPr>
        <w:t xml:space="preserve"> gia </w:t>
      </w:r>
      <w:r w:rsidRPr="00881BB0">
        <w:rPr>
          <w:sz w:val="28"/>
          <w:szCs w:val="28"/>
          <w:lang w:val="nl-NL"/>
        </w:rPr>
        <w:t>đ</w:t>
      </w:r>
      <w:r>
        <w:rPr>
          <w:sz w:val="28"/>
          <w:szCs w:val="28"/>
          <w:lang w:val="nl-NL"/>
        </w:rPr>
        <w:t>ình c</w:t>
      </w:r>
      <w:r w:rsidRPr="00881BB0">
        <w:rPr>
          <w:sz w:val="28"/>
          <w:szCs w:val="28"/>
          <w:lang w:val="nl-NL"/>
        </w:rPr>
        <w:t>ận</w:t>
      </w:r>
      <w:r>
        <w:rPr>
          <w:sz w:val="28"/>
          <w:szCs w:val="28"/>
          <w:lang w:val="nl-NL"/>
        </w:rPr>
        <w:t xml:space="preserve"> nghèo </w:t>
      </w:r>
      <w:r w:rsidRPr="00881BB0">
        <w:rPr>
          <w:sz w:val="28"/>
          <w:szCs w:val="28"/>
          <w:lang w:val="nl-NL"/>
        </w:rPr>
        <w:t>đối</w:t>
      </w:r>
      <w:r>
        <w:rPr>
          <w:sz w:val="28"/>
          <w:szCs w:val="28"/>
          <w:lang w:val="nl-NL"/>
        </w:rPr>
        <w:t xml:space="preserve"> v</w:t>
      </w:r>
      <w:r w:rsidRPr="00881BB0">
        <w:rPr>
          <w:sz w:val="28"/>
          <w:szCs w:val="28"/>
          <w:lang w:val="nl-NL"/>
        </w:rPr>
        <w:t>ới</w:t>
      </w:r>
      <w:r>
        <w:rPr>
          <w:sz w:val="28"/>
          <w:szCs w:val="28"/>
          <w:lang w:val="nl-NL"/>
        </w:rPr>
        <w:t xml:space="preserve"> các</w:t>
      </w:r>
      <w:r w:rsidRPr="00881BB0">
        <w:rPr>
          <w:sz w:val="28"/>
          <w:szCs w:val="28"/>
          <w:lang w:val="nl-NL"/>
        </w:rPr>
        <w:t xml:space="preserve"> địa phương chưa tự cân đối được ngân sách và tỉnh Quảng Ngãi.</w:t>
      </w:r>
    </w:p>
    <w:p w:rsidR="00DD72C7" w:rsidRPr="00881BB0" w:rsidRDefault="00DD72C7" w:rsidP="00DD72C7">
      <w:pPr>
        <w:spacing w:before="120" w:after="120" w:line="360" w:lineRule="auto"/>
        <w:ind w:firstLine="720"/>
        <w:jc w:val="both"/>
        <w:rPr>
          <w:sz w:val="28"/>
          <w:szCs w:val="28"/>
          <w:lang w:val="nl-NL"/>
        </w:rPr>
      </w:pPr>
      <w:r w:rsidRPr="00881BB0">
        <w:rPr>
          <w:sz w:val="28"/>
          <w:szCs w:val="28"/>
          <w:lang w:val="nl-NL"/>
        </w:rPr>
        <w:lastRenderedPageBreak/>
        <w:t xml:space="preserve">2. Ngân sách trung ương hỗ trợ </w:t>
      </w:r>
      <w:r>
        <w:rPr>
          <w:sz w:val="28"/>
          <w:szCs w:val="28"/>
          <w:lang w:val="nl-NL"/>
        </w:rPr>
        <w:t>35</w:t>
      </w:r>
      <w:r w:rsidRPr="00881BB0">
        <w:rPr>
          <w:sz w:val="28"/>
          <w:szCs w:val="28"/>
          <w:lang w:val="nl-NL"/>
        </w:rPr>
        <w:t xml:space="preserve">% </w:t>
      </w:r>
      <w:r>
        <w:rPr>
          <w:sz w:val="28"/>
          <w:szCs w:val="28"/>
          <w:lang w:val="nl-NL"/>
        </w:rPr>
        <w:t>m</w:t>
      </w:r>
      <w:r w:rsidRPr="00881BB0">
        <w:rPr>
          <w:sz w:val="28"/>
          <w:szCs w:val="28"/>
          <w:lang w:val="nl-NL"/>
        </w:rPr>
        <w:t>ệnh</w:t>
      </w:r>
      <w:r>
        <w:rPr>
          <w:sz w:val="28"/>
          <w:szCs w:val="28"/>
          <w:lang w:val="nl-NL"/>
        </w:rPr>
        <w:t xml:space="preserve"> giá mua th</w:t>
      </w:r>
      <w:r w:rsidRPr="00881BB0">
        <w:rPr>
          <w:sz w:val="28"/>
          <w:szCs w:val="28"/>
          <w:lang w:val="nl-NL"/>
        </w:rPr>
        <w:t>ẻ</w:t>
      </w:r>
      <w:r>
        <w:rPr>
          <w:sz w:val="28"/>
          <w:szCs w:val="28"/>
          <w:lang w:val="nl-NL"/>
        </w:rPr>
        <w:t xml:space="preserve"> b</w:t>
      </w:r>
      <w:r w:rsidRPr="00881BB0">
        <w:rPr>
          <w:sz w:val="28"/>
          <w:szCs w:val="28"/>
          <w:lang w:val="nl-NL"/>
        </w:rPr>
        <w:t>ảo</w:t>
      </w:r>
      <w:r>
        <w:rPr>
          <w:sz w:val="28"/>
          <w:szCs w:val="28"/>
          <w:lang w:val="nl-NL"/>
        </w:rPr>
        <w:t xml:space="preserve"> hi</w:t>
      </w:r>
      <w:r w:rsidRPr="00881BB0">
        <w:rPr>
          <w:sz w:val="28"/>
          <w:szCs w:val="28"/>
          <w:lang w:val="nl-NL"/>
        </w:rPr>
        <w:t>ểm</w:t>
      </w:r>
      <w:r>
        <w:rPr>
          <w:sz w:val="28"/>
          <w:szCs w:val="28"/>
          <w:lang w:val="nl-NL"/>
        </w:rPr>
        <w:t xml:space="preserve"> y t</w:t>
      </w:r>
      <w:r w:rsidRPr="00881BB0">
        <w:rPr>
          <w:sz w:val="28"/>
          <w:szCs w:val="28"/>
          <w:lang w:val="nl-NL"/>
        </w:rPr>
        <w:t>ế</w:t>
      </w:r>
      <w:r>
        <w:rPr>
          <w:sz w:val="28"/>
          <w:szCs w:val="28"/>
          <w:lang w:val="nl-NL"/>
        </w:rPr>
        <w:t xml:space="preserve"> cho ng</w:t>
      </w:r>
      <w:r w:rsidRPr="00881BB0">
        <w:rPr>
          <w:sz w:val="28"/>
          <w:szCs w:val="28"/>
          <w:lang w:val="nl-NL"/>
        </w:rPr>
        <w:t>ười</w:t>
      </w:r>
      <w:r>
        <w:rPr>
          <w:sz w:val="28"/>
          <w:szCs w:val="28"/>
          <w:lang w:val="nl-NL"/>
        </w:rPr>
        <w:t xml:space="preserve"> thu</w:t>
      </w:r>
      <w:r w:rsidRPr="00881BB0">
        <w:rPr>
          <w:sz w:val="28"/>
          <w:szCs w:val="28"/>
          <w:lang w:val="nl-NL"/>
        </w:rPr>
        <w:t>ộc</w:t>
      </w:r>
      <w:r>
        <w:rPr>
          <w:sz w:val="28"/>
          <w:szCs w:val="28"/>
          <w:lang w:val="nl-NL"/>
        </w:rPr>
        <w:t xml:space="preserve"> h</w:t>
      </w:r>
      <w:r w:rsidRPr="00881BB0">
        <w:rPr>
          <w:sz w:val="28"/>
          <w:szCs w:val="28"/>
          <w:lang w:val="nl-NL"/>
        </w:rPr>
        <w:t>ộ</w:t>
      </w:r>
      <w:r>
        <w:rPr>
          <w:sz w:val="28"/>
          <w:szCs w:val="28"/>
          <w:lang w:val="nl-NL"/>
        </w:rPr>
        <w:t xml:space="preserve"> gia </w:t>
      </w:r>
      <w:r w:rsidRPr="00881BB0">
        <w:rPr>
          <w:sz w:val="28"/>
          <w:szCs w:val="28"/>
          <w:lang w:val="nl-NL"/>
        </w:rPr>
        <w:t>đ</w:t>
      </w:r>
      <w:r>
        <w:rPr>
          <w:sz w:val="28"/>
          <w:szCs w:val="28"/>
          <w:lang w:val="nl-NL"/>
        </w:rPr>
        <w:t>ình c</w:t>
      </w:r>
      <w:r w:rsidRPr="00881BB0">
        <w:rPr>
          <w:sz w:val="28"/>
          <w:szCs w:val="28"/>
          <w:lang w:val="nl-NL"/>
        </w:rPr>
        <w:t>ận</w:t>
      </w:r>
      <w:r>
        <w:rPr>
          <w:sz w:val="28"/>
          <w:szCs w:val="28"/>
          <w:lang w:val="nl-NL"/>
        </w:rPr>
        <w:t xml:space="preserve"> nghèo </w:t>
      </w:r>
      <w:r w:rsidRPr="00881BB0">
        <w:rPr>
          <w:sz w:val="28"/>
          <w:szCs w:val="28"/>
          <w:lang w:val="nl-NL"/>
        </w:rPr>
        <w:t>đối</w:t>
      </w:r>
      <w:r>
        <w:rPr>
          <w:sz w:val="28"/>
          <w:szCs w:val="28"/>
          <w:lang w:val="nl-NL"/>
        </w:rPr>
        <w:t xml:space="preserve"> v</w:t>
      </w:r>
      <w:r w:rsidRPr="00881BB0">
        <w:rPr>
          <w:sz w:val="28"/>
          <w:szCs w:val="28"/>
          <w:lang w:val="nl-NL"/>
        </w:rPr>
        <w:t>ới</w:t>
      </w:r>
      <w:r>
        <w:rPr>
          <w:sz w:val="28"/>
          <w:szCs w:val="28"/>
          <w:lang w:val="nl-NL"/>
        </w:rPr>
        <w:t xml:space="preserve"> các</w:t>
      </w:r>
      <w:r w:rsidRPr="00881BB0">
        <w:rPr>
          <w:sz w:val="28"/>
          <w:szCs w:val="28"/>
          <w:lang w:val="nl-NL"/>
        </w:rPr>
        <w:t xml:space="preserve"> địa phương có tỷ lệ điều tiết các khoản thu phân chia về ngân sách trung ương dưới 50%.</w:t>
      </w:r>
    </w:p>
    <w:p w:rsidR="00DD72C7" w:rsidRPr="00D20138" w:rsidRDefault="00DD72C7" w:rsidP="00DD72C7">
      <w:pPr>
        <w:spacing w:before="120" w:after="120" w:line="360" w:lineRule="auto"/>
        <w:ind w:firstLine="720"/>
        <w:jc w:val="both"/>
        <w:rPr>
          <w:sz w:val="28"/>
          <w:szCs w:val="28"/>
        </w:rPr>
      </w:pPr>
      <w:r w:rsidRPr="00D20138">
        <w:rPr>
          <w:sz w:val="28"/>
          <w:szCs w:val="28"/>
        </w:rPr>
        <w:t>3. Các địa phương còn lại, bố trí từ ngân sách địa phương.</w:t>
      </w:r>
    </w:p>
    <w:p w:rsidR="00DD72C7" w:rsidRDefault="00DD72C7" w:rsidP="00DD72C7">
      <w:pPr>
        <w:spacing w:before="120" w:after="120" w:line="360" w:lineRule="auto"/>
        <w:ind w:firstLine="720"/>
        <w:jc w:val="both"/>
        <w:rPr>
          <w:sz w:val="28"/>
          <w:szCs w:val="28"/>
        </w:rPr>
      </w:pPr>
      <w:r w:rsidRPr="00D20138">
        <w:rPr>
          <w:b/>
          <w:sz w:val="28"/>
          <w:szCs w:val="28"/>
        </w:rPr>
        <w:t>Điều 3.</w:t>
      </w:r>
      <w:r w:rsidRPr="00D20138">
        <w:rPr>
          <w:sz w:val="28"/>
          <w:szCs w:val="28"/>
        </w:rPr>
        <w:t xml:space="preserve"> Tổ chức thực hiện</w:t>
      </w:r>
    </w:p>
    <w:p w:rsidR="00DD72C7" w:rsidRPr="00D20138" w:rsidRDefault="00DD72C7" w:rsidP="00DD72C7">
      <w:pPr>
        <w:spacing w:before="120" w:after="120" w:line="360" w:lineRule="auto"/>
        <w:ind w:firstLine="720"/>
        <w:jc w:val="both"/>
        <w:rPr>
          <w:sz w:val="28"/>
          <w:szCs w:val="28"/>
        </w:rPr>
      </w:pPr>
      <w:r>
        <w:rPr>
          <w:sz w:val="28"/>
          <w:szCs w:val="28"/>
        </w:rPr>
        <w:t>1</w:t>
      </w:r>
      <w:r w:rsidRPr="00D20138">
        <w:rPr>
          <w:sz w:val="28"/>
          <w:szCs w:val="28"/>
        </w:rPr>
        <w:t xml:space="preserve">. Bộ Tài chính có trách nhiệm cân đối, bố trí ngân sách trung ương hỗ trợ cho các địa phương </w:t>
      </w:r>
      <w:r>
        <w:rPr>
          <w:sz w:val="28"/>
          <w:szCs w:val="28"/>
        </w:rPr>
        <w:t xml:space="preserve">theo </w:t>
      </w:r>
      <w:r w:rsidRPr="00D20138">
        <w:rPr>
          <w:sz w:val="28"/>
          <w:szCs w:val="28"/>
        </w:rPr>
        <w:t xml:space="preserve">quy định tại khoản 1 và 2 Điều 2 Quyết định này. </w:t>
      </w:r>
    </w:p>
    <w:p w:rsidR="00DD72C7" w:rsidRDefault="00DD72C7" w:rsidP="00DD72C7">
      <w:pPr>
        <w:spacing w:before="120" w:after="120" w:line="360" w:lineRule="auto"/>
        <w:ind w:firstLine="720"/>
        <w:jc w:val="both"/>
        <w:rPr>
          <w:sz w:val="28"/>
          <w:szCs w:val="28"/>
        </w:rPr>
      </w:pPr>
      <w:r>
        <w:rPr>
          <w:sz w:val="28"/>
          <w:szCs w:val="28"/>
        </w:rPr>
        <w:t>2</w:t>
      </w:r>
      <w:r w:rsidRPr="00D20138">
        <w:rPr>
          <w:sz w:val="28"/>
          <w:szCs w:val="28"/>
        </w:rPr>
        <w:t xml:space="preserve">. </w:t>
      </w:r>
      <w:r>
        <w:rPr>
          <w:sz w:val="28"/>
          <w:szCs w:val="28"/>
        </w:rPr>
        <w:t>C</w:t>
      </w:r>
      <w:r w:rsidRPr="00D20138">
        <w:rPr>
          <w:sz w:val="28"/>
          <w:szCs w:val="28"/>
        </w:rPr>
        <w:t>hủ tịch Uỷ ban nhân dân tỉnh, thành phố trực thuộc Trung ương có trách nhiệm</w:t>
      </w:r>
      <w:r>
        <w:rPr>
          <w:sz w:val="28"/>
          <w:szCs w:val="28"/>
        </w:rPr>
        <w:t>:</w:t>
      </w:r>
    </w:p>
    <w:p w:rsidR="00DD72C7" w:rsidRDefault="00DD72C7" w:rsidP="00DD72C7">
      <w:pPr>
        <w:spacing w:before="120" w:after="120" w:line="360" w:lineRule="auto"/>
        <w:ind w:firstLine="720"/>
        <w:jc w:val="both"/>
        <w:rPr>
          <w:sz w:val="28"/>
          <w:szCs w:val="28"/>
        </w:rPr>
      </w:pPr>
      <w:r>
        <w:rPr>
          <w:sz w:val="28"/>
          <w:szCs w:val="28"/>
        </w:rPr>
        <w:t>a) B</w:t>
      </w:r>
      <w:r w:rsidRPr="00D20138">
        <w:rPr>
          <w:sz w:val="28"/>
          <w:szCs w:val="28"/>
        </w:rPr>
        <w:t xml:space="preserve">ố trí ngân sách địa phương </w:t>
      </w:r>
      <w:r>
        <w:rPr>
          <w:sz w:val="28"/>
          <w:szCs w:val="28"/>
        </w:rPr>
        <w:t>cùng v</w:t>
      </w:r>
      <w:r w:rsidRPr="00881BB0">
        <w:rPr>
          <w:sz w:val="28"/>
          <w:szCs w:val="28"/>
        </w:rPr>
        <w:t>ới</w:t>
      </w:r>
      <w:r>
        <w:rPr>
          <w:sz w:val="28"/>
          <w:szCs w:val="28"/>
        </w:rPr>
        <w:t xml:space="preserve"> ngu</w:t>
      </w:r>
      <w:r w:rsidRPr="00881BB0">
        <w:rPr>
          <w:sz w:val="28"/>
          <w:szCs w:val="28"/>
        </w:rPr>
        <w:t>ồ</w:t>
      </w:r>
      <w:r>
        <w:rPr>
          <w:sz w:val="28"/>
          <w:szCs w:val="28"/>
        </w:rPr>
        <w:t>n h</w:t>
      </w:r>
      <w:r w:rsidRPr="00881BB0">
        <w:rPr>
          <w:sz w:val="28"/>
          <w:szCs w:val="28"/>
        </w:rPr>
        <w:t>ỗ</w:t>
      </w:r>
      <w:r>
        <w:rPr>
          <w:sz w:val="28"/>
          <w:szCs w:val="28"/>
        </w:rPr>
        <w:t xml:space="preserve"> tr</w:t>
      </w:r>
      <w:r w:rsidRPr="00881BB0">
        <w:rPr>
          <w:sz w:val="28"/>
          <w:szCs w:val="28"/>
        </w:rPr>
        <w:t>ợ</w:t>
      </w:r>
      <w:r>
        <w:rPr>
          <w:sz w:val="28"/>
          <w:szCs w:val="28"/>
        </w:rPr>
        <w:t xml:space="preserve"> c</w:t>
      </w:r>
      <w:r w:rsidRPr="00881BB0">
        <w:rPr>
          <w:sz w:val="28"/>
          <w:szCs w:val="28"/>
        </w:rPr>
        <w:t>ủa</w:t>
      </w:r>
      <w:r>
        <w:rPr>
          <w:sz w:val="28"/>
          <w:szCs w:val="28"/>
        </w:rPr>
        <w:t xml:space="preserve"> ngân sách         trung </w:t>
      </w:r>
      <w:r w:rsidRPr="00881BB0">
        <w:rPr>
          <w:sz w:val="28"/>
          <w:szCs w:val="28"/>
        </w:rPr>
        <w:t>ươ</w:t>
      </w:r>
      <w:r>
        <w:rPr>
          <w:sz w:val="28"/>
          <w:szCs w:val="28"/>
        </w:rPr>
        <w:t xml:space="preserve">ng </w:t>
      </w:r>
      <w:r w:rsidRPr="00881BB0">
        <w:rPr>
          <w:sz w:val="28"/>
          <w:szCs w:val="28"/>
        </w:rPr>
        <w:t>để</w:t>
      </w:r>
      <w:r>
        <w:rPr>
          <w:sz w:val="28"/>
          <w:szCs w:val="28"/>
        </w:rPr>
        <w:t xml:space="preserve"> </w:t>
      </w:r>
      <w:r w:rsidRPr="00D20138">
        <w:rPr>
          <w:sz w:val="28"/>
          <w:szCs w:val="28"/>
        </w:rPr>
        <w:t>thực hiện hỗ trợ mức đóng bảo hiểm y tế cho người thuộc hộ gia đình cận nghèo</w:t>
      </w:r>
      <w:r>
        <w:rPr>
          <w:sz w:val="28"/>
          <w:szCs w:val="28"/>
        </w:rPr>
        <w:t xml:space="preserve"> theo quy </w:t>
      </w:r>
      <w:r w:rsidRPr="00881BB0">
        <w:rPr>
          <w:sz w:val="28"/>
          <w:szCs w:val="28"/>
        </w:rPr>
        <w:t>định</w:t>
      </w:r>
      <w:r>
        <w:rPr>
          <w:sz w:val="28"/>
          <w:szCs w:val="28"/>
        </w:rPr>
        <w:t xml:space="preserve"> t</w:t>
      </w:r>
      <w:r w:rsidRPr="00881BB0">
        <w:rPr>
          <w:sz w:val="28"/>
          <w:szCs w:val="28"/>
        </w:rPr>
        <w:t>ại</w:t>
      </w:r>
      <w:r>
        <w:rPr>
          <w:sz w:val="28"/>
          <w:szCs w:val="28"/>
        </w:rPr>
        <w:t xml:space="preserve"> </w:t>
      </w:r>
      <w:r w:rsidRPr="00294C19">
        <w:rPr>
          <w:sz w:val="28"/>
          <w:szCs w:val="28"/>
        </w:rPr>
        <w:t>Đ</w:t>
      </w:r>
      <w:r>
        <w:rPr>
          <w:sz w:val="28"/>
          <w:szCs w:val="28"/>
        </w:rPr>
        <w:t>i</w:t>
      </w:r>
      <w:r w:rsidRPr="00881BB0">
        <w:rPr>
          <w:sz w:val="28"/>
          <w:szCs w:val="28"/>
        </w:rPr>
        <w:t>ều</w:t>
      </w:r>
      <w:r>
        <w:rPr>
          <w:sz w:val="28"/>
          <w:szCs w:val="28"/>
        </w:rPr>
        <w:t xml:space="preserve"> 1 Quy</w:t>
      </w:r>
      <w:r w:rsidRPr="00881BB0">
        <w:rPr>
          <w:sz w:val="28"/>
          <w:szCs w:val="28"/>
        </w:rPr>
        <w:t>ết</w:t>
      </w:r>
      <w:r>
        <w:rPr>
          <w:sz w:val="28"/>
          <w:szCs w:val="28"/>
        </w:rPr>
        <w:t xml:space="preserve"> </w:t>
      </w:r>
      <w:r w:rsidRPr="00881BB0">
        <w:rPr>
          <w:sz w:val="28"/>
          <w:szCs w:val="28"/>
        </w:rPr>
        <w:t>định</w:t>
      </w:r>
      <w:r>
        <w:rPr>
          <w:sz w:val="28"/>
          <w:szCs w:val="28"/>
        </w:rPr>
        <w:t xml:space="preserve"> này;</w:t>
      </w:r>
    </w:p>
    <w:p w:rsidR="00DD72C7" w:rsidRDefault="00DD72C7" w:rsidP="00DD72C7">
      <w:pPr>
        <w:spacing w:before="120" w:after="120" w:line="360" w:lineRule="auto"/>
        <w:ind w:firstLine="720"/>
        <w:jc w:val="both"/>
        <w:rPr>
          <w:sz w:val="28"/>
          <w:szCs w:val="28"/>
        </w:rPr>
      </w:pPr>
      <w:r>
        <w:rPr>
          <w:sz w:val="28"/>
          <w:szCs w:val="28"/>
        </w:rPr>
        <w:t>b) C</w:t>
      </w:r>
      <w:r w:rsidRPr="005A4DD8">
        <w:rPr>
          <w:sz w:val="28"/>
          <w:szCs w:val="28"/>
        </w:rPr>
        <w:t>ă</w:t>
      </w:r>
      <w:r>
        <w:rPr>
          <w:sz w:val="28"/>
          <w:szCs w:val="28"/>
        </w:rPr>
        <w:t>n c</w:t>
      </w:r>
      <w:r w:rsidRPr="005A4DD8">
        <w:rPr>
          <w:sz w:val="28"/>
          <w:szCs w:val="28"/>
        </w:rPr>
        <w:t>ứ</w:t>
      </w:r>
      <w:r>
        <w:rPr>
          <w:sz w:val="28"/>
          <w:szCs w:val="28"/>
        </w:rPr>
        <w:t xml:space="preserve"> kh</w:t>
      </w:r>
      <w:r w:rsidRPr="005A4DD8">
        <w:rPr>
          <w:sz w:val="28"/>
          <w:szCs w:val="28"/>
        </w:rPr>
        <w:t>ả</w:t>
      </w:r>
      <w:r>
        <w:rPr>
          <w:sz w:val="28"/>
          <w:szCs w:val="28"/>
        </w:rPr>
        <w:t xml:space="preserve"> n</w:t>
      </w:r>
      <w:r w:rsidRPr="005A4DD8">
        <w:rPr>
          <w:sz w:val="28"/>
          <w:szCs w:val="28"/>
        </w:rPr>
        <w:t>ă</w:t>
      </w:r>
      <w:r>
        <w:rPr>
          <w:sz w:val="28"/>
          <w:szCs w:val="28"/>
        </w:rPr>
        <w:t xml:space="preserve">ng ngân sách </w:t>
      </w:r>
      <w:r w:rsidRPr="005A4DD8">
        <w:rPr>
          <w:sz w:val="28"/>
          <w:szCs w:val="28"/>
        </w:rPr>
        <w:t>địa</w:t>
      </w:r>
      <w:r>
        <w:rPr>
          <w:sz w:val="28"/>
          <w:szCs w:val="28"/>
        </w:rPr>
        <w:t xml:space="preserve"> ph</w:t>
      </w:r>
      <w:r w:rsidRPr="005A4DD8">
        <w:rPr>
          <w:sz w:val="28"/>
          <w:szCs w:val="28"/>
        </w:rPr>
        <w:t>ươ</w:t>
      </w:r>
      <w:r>
        <w:rPr>
          <w:sz w:val="28"/>
          <w:szCs w:val="28"/>
        </w:rPr>
        <w:t xml:space="preserve">ng và </w:t>
      </w:r>
      <w:r w:rsidRPr="00D20138">
        <w:rPr>
          <w:sz w:val="28"/>
          <w:szCs w:val="28"/>
        </w:rPr>
        <w:t>các nguồn hợp pháp khác</w:t>
      </w:r>
      <w:r>
        <w:rPr>
          <w:sz w:val="28"/>
          <w:szCs w:val="28"/>
        </w:rPr>
        <w:t xml:space="preserve"> có th</w:t>
      </w:r>
      <w:r w:rsidRPr="005A4DD8">
        <w:rPr>
          <w:sz w:val="28"/>
          <w:szCs w:val="28"/>
        </w:rPr>
        <w:t>ể</w:t>
      </w:r>
      <w:r>
        <w:rPr>
          <w:sz w:val="28"/>
          <w:szCs w:val="28"/>
        </w:rPr>
        <w:t xml:space="preserve"> quy</w:t>
      </w:r>
      <w:r w:rsidRPr="00881BB0">
        <w:rPr>
          <w:sz w:val="28"/>
          <w:szCs w:val="28"/>
        </w:rPr>
        <w:t>ết</w:t>
      </w:r>
      <w:r>
        <w:rPr>
          <w:sz w:val="28"/>
          <w:szCs w:val="28"/>
        </w:rPr>
        <w:t xml:space="preserve"> </w:t>
      </w:r>
      <w:r w:rsidRPr="00881BB0">
        <w:rPr>
          <w:sz w:val="28"/>
          <w:szCs w:val="28"/>
        </w:rPr>
        <w:t>định</w:t>
      </w:r>
      <w:r>
        <w:rPr>
          <w:sz w:val="28"/>
          <w:szCs w:val="28"/>
        </w:rPr>
        <w:t xml:space="preserve"> m</w:t>
      </w:r>
      <w:r w:rsidRPr="00975C57">
        <w:rPr>
          <w:sz w:val="28"/>
          <w:szCs w:val="28"/>
        </w:rPr>
        <w:t>ức</w:t>
      </w:r>
      <w:r>
        <w:rPr>
          <w:sz w:val="28"/>
          <w:szCs w:val="28"/>
        </w:rPr>
        <w:t xml:space="preserve"> </w:t>
      </w:r>
      <w:r w:rsidRPr="00D20138">
        <w:rPr>
          <w:sz w:val="28"/>
          <w:szCs w:val="28"/>
        </w:rPr>
        <w:t xml:space="preserve">hỗ trợ </w:t>
      </w:r>
      <w:r w:rsidRPr="00975C57">
        <w:rPr>
          <w:sz w:val="28"/>
          <w:szCs w:val="28"/>
        </w:rPr>
        <w:t>đ</w:t>
      </w:r>
      <w:r>
        <w:rPr>
          <w:sz w:val="28"/>
          <w:szCs w:val="28"/>
        </w:rPr>
        <w:t>óng</w:t>
      </w:r>
      <w:r w:rsidRPr="00D20138">
        <w:rPr>
          <w:sz w:val="28"/>
          <w:szCs w:val="28"/>
        </w:rPr>
        <w:t xml:space="preserve"> bảo hiểm y tế cho người thuộc hộ gia đình cận nghèo cao hơn mức hỗ trợ tối thiểu quy định tại Điều 1 Quyết định này</w:t>
      </w:r>
      <w:r>
        <w:rPr>
          <w:sz w:val="28"/>
          <w:szCs w:val="28"/>
        </w:rPr>
        <w:t>;</w:t>
      </w:r>
    </w:p>
    <w:p w:rsidR="00DD72C7" w:rsidRDefault="00DD72C7" w:rsidP="00DD72C7">
      <w:pPr>
        <w:spacing w:before="120" w:after="120" w:line="360" w:lineRule="auto"/>
        <w:ind w:firstLine="720"/>
        <w:jc w:val="both"/>
        <w:rPr>
          <w:sz w:val="28"/>
          <w:szCs w:val="28"/>
        </w:rPr>
      </w:pPr>
      <w:r>
        <w:rPr>
          <w:sz w:val="28"/>
          <w:szCs w:val="28"/>
        </w:rPr>
        <w:t>c) T</w:t>
      </w:r>
      <w:r w:rsidRPr="00D20138">
        <w:rPr>
          <w:sz w:val="28"/>
          <w:szCs w:val="28"/>
        </w:rPr>
        <w:t>ổ chức thực hiện và kiểm tra, giám sát việc thực hiện hỗ trợ theo quy định tại Quyết định này.</w:t>
      </w:r>
    </w:p>
    <w:p w:rsidR="00DD72C7" w:rsidRPr="001E7945" w:rsidRDefault="00DD72C7" w:rsidP="00DD72C7">
      <w:pPr>
        <w:spacing w:before="120" w:after="120" w:line="360" w:lineRule="auto"/>
        <w:ind w:firstLine="720"/>
        <w:jc w:val="both"/>
        <w:rPr>
          <w:sz w:val="28"/>
          <w:szCs w:val="28"/>
        </w:rPr>
      </w:pPr>
      <w:r w:rsidRPr="00D20138">
        <w:rPr>
          <w:b/>
          <w:sz w:val="28"/>
          <w:szCs w:val="28"/>
        </w:rPr>
        <w:t>Điều 4.</w:t>
      </w:r>
      <w:r w:rsidRPr="00D20138">
        <w:rPr>
          <w:sz w:val="28"/>
          <w:szCs w:val="28"/>
        </w:rPr>
        <w:t xml:space="preserve"> Quyết định này có hiệu lực thi hành kể từ ngày ký</w:t>
      </w:r>
      <w:r>
        <w:rPr>
          <w:sz w:val="28"/>
          <w:szCs w:val="28"/>
        </w:rPr>
        <w:t xml:space="preserve"> và</w:t>
      </w:r>
      <w:r w:rsidRPr="0073300D">
        <w:rPr>
          <w:sz w:val="28"/>
          <w:szCs w:val="28"/>
        </w:rPr>
        <w:t xml:space="preserve"> được thực hiện từ năm ngân sách 201</w:t>
      </w:r>
      <w:r>
        <w:rPr>
          <w:sz w:val="28"/>
          <w:szCs w:val="28"/>
        </w:rPr>
        <w:t>2</w:t>
      </w:r>
      <w:r w:rsidRPr="0073300D">
        <w:rPr>
          <w:sz w:val="28"/>
          <w:szCs w:val="28"/>
        </w:rPr>
        <w:t>.</w:t>
      </w:r>
    </w:p>
    <w:p w:rsidR="00DD72C7" w:rsidRDefault="00DD72C7" w:rsidP="00DD72C7">
      <w:pPr>
        <w:spacing w:before="120" w:after="120" w:line="360" w:lineRule="auto"/>
        <w:ind w:firstLine="720"/>
        <w:jc w:val="both"/>
        <w:rPr>
          <w:sz w:val="28"/>
          <w:szCs w:val="28"/>
        </w:rPr>
      </w:pPr>
      <w:r w:rsidRPr="00D20138">
        <w:rPr>
          <w:b/>
          <w:sz w:val="28"/>
          <w:szCs w:val="28"/>
        </w:rPr>
        <w:t>Điều 5.</w:t>
      </w:r>
      <w:r w:rsidRPr="00D20138">
        <w:rPr>
          <w:sz w:val="28"/>
          <w:szCs w:val="28"/>
        </w:rPr>
        <w:t xml:space="preserve"> Các Bộ trưởng, </w:t>
      </w:r>
      <w:r w:rsidRPr="00FF5F7A">
        <w:rPr>
          <w:sz w:val="28"/>
          <w:szCs w:val="28"/>
        </w:rPr>
        <w:t>Thủ trưởng cơ quan ngang Bộ, Thủ trưởng cơ quan thuộc Chính phủ, Chủ tịch Ủy ban nhân dân các tỉnh, thành phố trực thuộc Trung ương chịu trách nhiệm thi hành Quyết định này</w:t>
      </w:r>
      <w:r w:rsidRPr="00D20138">
        <w:rPr>
          <w:sz w:val="28"/>
          <w:szCs w:val="28"/>
        </w:rPr>
        <w:t>./.</w:t>
      </w:r>
    </w:p>
    <w:p w:rsidR="00DD72C7" w:rsidRPr="00D20138" w:rsidRDefault="00DD72C7" w:rsidP="00DD72C7">
      <w:pPr>
        <w:spacing w:before="120" w:after="120" w:line="360" w:lineRule="auto"/>
        <w:ind w:firstLine="720"/>
        <w:jc w:val="both"/>
        <w:rPr>
          <w:sz w:val="28"/>
          <w:szCs w:val="28"/>
        </w:rPr>
      </w:pPr>
    </w:p>
    <w:p w:rsidR="00DD72C7" w:rsidRPr="00D20138" w:rsidRDefault="00DD72C7" w:rsidP="00DD72C7">
      <w:pPr>
        <w:spacing w:before="120" w:after="120" w:line="360" w:lineRule="auto"/>
        <w:jc w:val="both"/>
        <w:rPr>
          <w:sz w:val="28"/>
          <w:szCs w:val="28"/>
        </w:rPr>
      </w:pPr>
    </w:p>
    <w:tbl>
      <w:tblPr>
        <w:tblW w:w="9000" w:type="dxa"/>
        <w:tblInd w:w="108" w:type="dxa"/>
        <w:tblLook w:val="01E0" w:firstRow="1" w:lastRow="1" w:firstColumn="1" w:lastColumn="1" w:noHBand="0" w:noVBand="0"/>
      </w:tblPr>
      <w:tblGrid>
        <w:gridCol w:w="5280"/>
        <w:gridCol w:w="3720"/>
      </w:tblGrid>
      <w:tr w:rsidR="00DD72C7" w:rsidRPr="004A3D87" w:rsidTr="001235AD">
        <w:tc>
          <w:tcPr>
            <w:tcW w:w="5280" w:type="dxa"/>
          </w:tcPr>
          <w:p w:rsidR="00DD72C7" w:rsidRPr="00E628B3" w:rsidRDefault="00DD72C7" w:rsidP="001235AD">
            <w:pPr>
              <w:spacing w:before="120" w:after="120" w:line="360" w:lineRule="auto"/>
              <w:jc w:val="both"/>
              <w:rPr>
                <w:b/>
                <w:bCs/>
                <w:iCs/>
                <w:color w:val="000000"/>
                <w:lang w:val="nl-NL"/>
              </w:rPr>
            </w:pPr>
            <w:r w:rsidRPr="00E628B3">
              <w:rPr>
                <w:b/>
                <w:bCs/>
                <w:i/>
                <w:iCs/>
                <w:color w:val="000000"/>
                <w:lang w:val="nl-NL"/>
              </w:rPr>
              <w:lastRenderedPageBreak/>
              <w:t xml:space="preserve">Nơi nhận:                                                                                                       </w:t>
            </w:r>
          </w:p>
          <w:p w:rsidR="00DD72C7" w:rsidRPr="00E628B3" w:rsidRDefault="00DD72C7" w:rsidP="001235AD">
            <w:pPr>
              <w:spacing w:before="120" w:after="120" w:line="360" w:lineRule="auto"/>
              <w:jc w:val="both"/>
              <w:rPr>
                <w:color w:val="000000"/>
                <w:sz w:val="22"/>
                <w:szCs w:val="22"/>
                <w:lang w:val="nl-NL"/>
              </w:rPr>
            </w:pPr>
            <w:r w:rsidRPr="00E628B3">
              <w:rPr>
                <w:color w:val="000000"/>
                <w:sz w:val="22"/>
                <w:szCs w:val="22"/>
                <w:lang w:val="nl-NL"/>
              </w:rPr>
              <w:t xml:space="preserve">   - Ban Bí thư Trung ương Đảng;</w:t>
            </w:r>
          </w:p>
          <w:p w:rsidR="00DD72C7" w:rsidRPr="00E628B3" w:rsidRDefault="00DD72C7" w:rsidP="001235AD">
            <w:pPr>
              <w:spacing w:before="120" w:after="120" w:line="360" w:lineRule="auto"/>
              <w:jc w:val="both"/>
              <w:rPr>
                <w:color w:val="000000"/>
                <w:sz w:val="22"/>
                <w:szCs w:val="22"/>
                <w:lang w:val="nl-NL"/>
              </w:rPr>
            </w:pPr>
            <w:r w:rsidRPr="00E628B3">
              <w:rPr>
                <w:color w:val="000000"/>
                <w:sz w:val="22"/>
                <w:szCs w:val="22"/>
                <w:lang w:val="nl-NL"/>
              </w:rPr>
              <w:t xml:space="preserve">   - Thủ tướng, các Phó Thủ tướng Chính phủ; </w:t>
            </w:r>
          </w:p>
          <w:p w:rsidR="00DD72C7" w:rsidRPr="00E628B3" w:rsidRDefault="00DD72C7" w:rsidP="001235AD">
            <w:pPr>
              <w:spacing w:before="120" w:after="120" w:line="360" w:lineRule="auto"/>
              <w:jc w:val="both"/>
              <w:rPr>
                <w:color w:val="000000"/>
                <w:sz w:val="22"/>
                <w:szCs w:val="22"/>
                <w:lang w:val="nl-NL"/>
              </w:rPr>
            </w:pPr>
            <w:r w:rsidRPr="00E628B3">
              <w:rPr>
                <w:color w:val="000000"/>
                <w:sz w:val="22"/>
                <w:szCs w:val="22"/>
                <w:lang w:val="nl-NL"/>
              </w:rPr>
              <w:t xml:space="preserve">   - Các Bộ, cơ quan ngang Bộ,cơ quan thuộc Chính phủ;</w:t>
            </w:r>
          </w:p>
          <w:p w:rsidR="00DD72C7" w:rsidRPr="00E628B3" w:rsidRDefault="00DD72C7" w:rsidP="001235AD">
            <w:pPr>
              <w:spacing w:before="120" w:after="120" w:line="360" w:lineRule="auto"/>
              <w:jc w:val="both"/>
              <w:rPr>
                <w:color w:val="000000"/>
                <w:sz w:val="22"/>
                <w:szCs w:val="22"/>
                <w:lang w:val="nl-NL"/>
              </w:rPr>
            </w:pPr>
            <w:r w:rsidRPr="00E628B3">
              <w:rPr>
                <w:color w:val="000000"/>
                <w:sz w:val="22"/>
                <w:szCs w:val="22"/>
                <w:lang w:val="nl-NL"/>
              </w:rPr>
              <w:t xml:space="preserve">   - VP BCĐ TW về phòng, chống tham nhũng; </w:t>
            </w:r>
          </w:p>
          <w:p w:rsidR="00DD72C7" w:rsidRPr="00E628B3" w:rsidRDefault="00DD72C7" w:rsidP="001235AD">
            <w:pPr>
              <w:spacing w:before="120" w:after="120" w:line="360" w:lineRule="auto"/>
              <w:jc w:val="both"/>
              <w:rPr>
                <w:color w:val="000000"/>
                <w:sz w:val="22"/>
                <w:szCs w:val="22"/>
                <w:lang w:val="nl-NL"/>
              </w:rPr>
            </w:pPr>
            <w:r w:rsidRPr="00E628B3">
              <w:rPr>
                <w:color w:val="000000"/>
                <w:sz w:val="22"/>
                <w:szCs w:val="22"/>
                <w:lang w:val="nl-NL"/>
              </w:rPr>
              <w:t xml:space="preserve">   - HĐND, UBND các tỉnh, thành phố trực thuộc TW;                  </w:t>
            </w:r>
          </w:p>
          <w:p w:rsidR="00DD72C7" w:rsidRPr="00E628B3" w:rsidRDefault="00DD72C7" w:rsidP="001235AD">
            <w:pPr>
              <w:spacing w:before="120" w:after="120" w:line="360" w:lineRule="auto"/>
              <w:jc w:val="both"/>
              <w:rPr>
                <w:color w:val="000000"/>
                <w:sz w:val="22"/>
                <w:szCs w:val="22"/>
                <w:lang w:val="nl-NL"/>
              </w:rPr>
            </w:pPr>
            <w:r w:rsidRPr="00E628B3">
              <w:rPr>
                <w:color w:val="000000"/>
                <w:sz w:val="22"/>
                <w:szCs w:val="22"/>
                <w:lang w:val="nl-NL"/>
              </w:rPr>
              <w:t xml:space="preserve">   - Văn phòng Trung ương và các Ban của Đảng;</w:t>
            </w:r>
          </w:p>
          <w:p w:rsidR="00DD72C7" w:rsidRDefault="00DD72C7" w:rsidP="001235AD">
            <w:pPr>
              <w:spacing w:before="120" w:after="120" w:line="360" w:lineRule="auto"/>
              <w:jc w:val="both"/>
              <w:rPr>
                <w:color w:val="000000"/>
                <w:sz w:val="22"/>
                <w:szCs w:val="22"/>
                <w:lang w:val="nl-NL"/>
              </w:rPr>
            </w:pPr>
            <w:r>
              <w:rPr>
                <w:color w:val="000000"/>
                <w:sz w:val="22"/>
                <w:szCs w:val="22"/>
                <w:lang w:val="nl-NL"/>
              </w:rPr>
              <w:t xml:space="preserve">   -</w:t>
            </w:r>
            <w:r w:rsidRPr="00E628B3">
              <w:rPr>
                <w:color w:val="000000"/>
                <w:sz w:val="22"/>
                <w:szCs w:val="22"/>
                <w:lang w:val="nl-NL"/>
              </w:rPr>
              <w:t xml:space="preserve"> Văn phòng Chủ tịch nước; </w:t>
            </w:r>
          </w:p>
          <w:p w:rsidR="00DD72C7" w:rsidRPr="00E628B3" w:rsidRDefault="00DD72C7" w:rsidP="001235AD">
            <w:pPr>
              <w:spacing w:before="120" w:after="120" w:line="360" w:lineRule="auto"/>
              <w:jc w:val="both"/>
              <w:rPr>
                <w:color w:val="000000"/>
                <w:sz w:val="22"/>
                <w:szCs w:val="22"/>
                <w:lang w:val="nl-NL"/>
              </w:rPr>
            </w:pPr>
            <w:r w:rsidRPr="00E628B3">
              <w:rPr>
                <w:color w:val="000000"/>
                <w:sz w:val="22"/>
                <w:szCs w:val="22"/>
                <w:lang w:val="nl-NL"/>
              </w:rPr>
              <w:t xml:space="preserve">   - Hội đồng Dân tộc và các Ủy ban của Quốc hội; </w:t>
            </w:r>
          </w:p>
          <w:p w:rsidR="00DD72C7" w:rsidRDefault="00DD72C7" w:rsidP="001235AD">
            <w:pPr>
              <w:spacing w:before="120" w:after="120" w:line="360" w:lineRule="auto"/>
              <w:jc w:val="both"/>
              <w:rPr>
                <w:color w:val="000000"/>
                <w:sz w:val="22"/>
                <w:szCs w:val="22"/>
                <w:lang w:val="nl-NL"/>
              </w:rPr>
            </w:pPr>
            <w:r>
              <w:rPr>
                <w:color w:val="000000"/>
                <w:sz w:val="22"/>
                <w:szCs w:val="22"/>
                <w:lang w:val="nl-NL"/>
              </w:rPr>
              <w:t xml:space="preserve">   </w:t>
            </w:r>
            <w:r w:rsidRPr="00E628B3">
              <w:rPr>
                <w:color w:val="000000"/>
                <w:sz w:val="22"/>
                <w:szCs w:val="22"/>
                <w:lang w:val="nl-NL"/>
              </w:rPr>
              <w:t>- Văn phòng Quốc hội;</w:t>
            </w:r>
          </w:p>
          <w:p w:rsidR="00DD72C7" w:rsidRPr="00E628B3" w:rsidRDefault="00DD72C7" w:rsidP="001235AD">
            <w:pPr>
              <w:spacing w:before="120" w:after="120" w:line="360" w:lineRule="auto"/>
              <w:jc w:val="both"/>
              <w:rPr>
                <w:color w:val="000000"/>
                <w:sz w:val="22"/>
                <w:szCs w:val="22"/>
                <w:lang w:val="nl-NL"/>
              </w:rPr>
            </w:pPr>
            <w:r>
              <w:rPr>
                <w:color w:val="000000"/>
                <w:sz w:val="22"/>
                <w:szCs w:val="22"/>
                <w:lang w:val="nl-NL"/>
              </w:rPr>
              <w:t xml:space="preserve">   </w:t>
            </w:r>
            <w:r w:rsidRPr="00E628B3">
              <w:rPr>
                <w:color w:val="000000"/>
                <w:sz w:val="22"/>
                <w:szCs w:val="22"/>
                <w:lang w:val="nl-NL"/>
              </w:rPr>
              <w:t xml:space="preserve">- Toà án nhân dân tối cao; </w:t>
            </w:r>
          </w:p>
          <w:p w:rsidR="00DD72C7" w:rsidRDefault="00DD72C7" w:rsidP="001235AD">
            <w:pPr>
              <w:spacing w:before="120" w:after="120" w:line="360" w:lineRule="auto"/>
              <w:jc w:val="both"/>
              <w:rPr>
                <w:color w:val="000000"/>
                <w:sz w:val="22"/>
                <w:szCs w:val="22"/>
                <w:lang w:val="nl-NL"/>
              </w:rPr>
            </w:pPr>
            <w:r>
              <w:rPr>
                <w:color w:val="000000"/>
                <w:sz w:val="22"/>
                <w:szCs w:val="22"/>
                <w:lang w:val="nl-NL"/>
              </w:rPr>
              <w:t xml:space="preserve">   </w:t>
            </w:r>
            <w:r w:rsidRPr="00E628B3">
              <w:rPr>
                <w:color w:val="000000"/>
                <w:sz w:val="22"/>
                <w:szCs w:val="22"/>
                <w:lang w:val="nl-NL"/>
              </w:rPr>
              <w:t>- Viện Kiểm sát nhân dân tối cao;</w:t>
            </w:r>
          </w:p>
          <w:p w:rsidR="00DD72C7" w:rsidRPr="00E628B3" w:rsidRDefault="00DD72C7" w:rsidP="001235AD">
            <w:pPr>
              <w:spacing w:before="120" w:after="120" w:line="360" w:lineRule="auto"/>
              <w:jc w:val="both"/>
              <w:rPr>
                <w:color w:val="000000"/>
                <w:sz w:val="22"/>
                <w:szCs w:val="22"/>
                <w:lang w:val="nl-NL"/>
              </w:rPr>
            </w:pPr>
            <w:r w:rsidRPr="00E628B3">
              <w:rPr>
                <w:color w:val="000000"/>
                <w:sz w:val="22"/>
                <w:szCs w:val="22"/>
                <w:lang w:val="nl-NL"/>
              </w:rPr>
              <w:t xml:space="preserve">   - Kiểm toán Nhà nước;</w:t>
            </w:r>
          </w:p>
          <w:p w:rsidR="00DD72C7" w:rsidRDefault="00DD72C7" w:rsidP="001235AD">
            <w:pPr>
              <w:spacing w:before="120" w:after="120" w:line="360" w:lineRule="auto"/>
              <w:jc w:val="both"/>
              <w:rPr>
                <w:color w:val="000000"/>
                <w:sz w:val="22"/>
                <w:szCs w:val="22"/>
                <w:lang w:val="nl-NL"/>
              </w:rPr>
            </w:pPr>
            <w:r>
              <w:rPr>
                <w:color w:val="000000"/>
                <w:sz w:val="22"/>
                <w:szCs w:val="22"/>
                <w:lang w:val="nl-NL"/>
              </w:rPr>
              <w:t xml:space="preserve">   </w:t>
            </w:r>
            <w:r w:rsidRPr="00E628B3">
              <w:rPr>
                <w:color w:val="000000"/>
                <w:sz w:val="22"/>
                <w:szCs w:val="22"/>
                <w:lang w:val="nl-NL"/>
              </w:rPr>
              <w:t>- Ủy ban Giám sát tài chính Quốc gia;</w:t>
            </w:r>
          </w:p>
          <w:p w:rsidR="00DD72C7" w:rsidRDefault="00DD72C7" w:rsidP="001235AD">
            <w:pPr>
              <w:spacing w:before="120" w:after="120" w:line="360" w:lineRule="auto"/>
              <w:jc w:val="both"/>
              <w:rPr>
                <w:color w:val="000000"/>
                <w:sz w:val="22"/>
                <w:szCs w:val="22"/>
                <w:lang w:val="nl-NL"/>
              </w:rPr>
            </w:pPr>
            <w:r w:rsidRPr="00E628B3">
              <w:rPr>
                <w:color w:val="000000"/>
                <w:sz w:val="22"/>
                <w:szCs w:val="22"/>
                <w:lang w:val="nl-NL"/>
              </w:rPr>
              <w:t xml:space="preserve">   - Ngân hàng Chính sách Xã hội;</w:t>
            </w:r>
          </w:p>
          <w:p w:rsidR="00DD72C7" w:rsidRPr="00E628B3" w:rsidRDefault="00DD72C7" w:rsidP="001235AD">
            <w:pPr>
              <w:spacing w:before="120" w:after="120" w:line="360" w:lineRule="auto"/>
              <w:jc w:val="both"/>
              <w:rPr>
                <w:color w:val="000000"/>
                <w:sz w:val="22"/>
                <w:szCs w:val="22"/>
                <w:lang w:val="nl-NL"/>
              </w:rPr>
            </w:pPr>
            <w:r w:rsidRPr="00E628B3">
              <w:rPr>
                <w:color w:val="000000"/>
                <w:sz w:val="22"/>
                <w:szCs w:val="22"/>
                <w:lang w:val="nl-NL"/>
              </w:rPr>
              <w:t xml:space="preserve">   - Ngân hàng Phát triển Việt Nam;</w:t>
            </w:r>
          </w:p>
          <w:p w:rsidR="00DD72C7" w:rsidRPr="00E628B3" w:rsidRDefault="00DD72C7" w:rsidP="001235AD">
            <w:pPr>
              <w:spacing w:before="120" w:after="120" w:line="360" w:lineRule="auto"/>
              <w:jc w:val="both"/>
              <w:rPr>
                <w:color w:val="000000"/>
                <w:sz w:val="22"/>
                <w:szCs w:val="22"/>
                <w:lang w:val="nl-NL"/>
              </w:rPr>
            </w:pPr>
            <w:r w:rsidRPr="00E628B3">
              <w:rPr>
                <w:color w:val="000000"/>
                <w:sz w:val="22"/>
                <w:szCs w:val="22"/>
                <w:lang w:val="nl-NL"/>
              </w:rPr>
              <w:t xml:space="preserve">   - UBTW Mặt trận Tổ quốc Việt Nam;</w:t>
            </w:r>
          </w:p>
          <w:p w:rsidR="00DD72C7" w:rsidRPr="00E628B3" w:rsidRDefault="00DD72C7" w:rsidP="001235AD">
            <w:pPr>
              <w:spacing w:before="120" w:after="120" w:line="360" w:lineRule="auto"/>
              <w:jc w:val="both"/>
              <w:rPr>
                <w:color w:val="000000"/>
                <w:sz w:val="22"/>
                <w:szCs w:val="22"/>
                <w:lang w:val="nl-NL"/>
              </w:rPr>
            </w:pPr>
            <w:r w:rsidRPr="00E628B3">
              <w:rPr>
                <w:color w:val="000000"/>
                <w:sz w:val="22"/>
                <w:szCs w:val="22"/>
                <w:lang w:val="nl-NL"/>
              </w:rPr>
              <w:t xml:space="preserve">   - Cơ quan Trung ương của các đoàn thể;</w:t>
            </w:r>
          </w:p>
          <w:p w:rsidR="00DD72C7" w:rsidRPr="00E628B3" w:rsidRDefault="00DD72C7" w:rsidP="001235AD">
            <w:pPr>
              <w:spacing w:before="120" w:after="120" w:line="360" w:lineRule="auto"/>
              <w:jc w:val="both"/>
              <w:rPr>
                <w:color w:val="000000"/>
                <w:sz w:val="22"/>
                <w:szCs w:val="22"/>
                <w:lang w:val="nl-NL"/>
              </w:rPr>
            </w:pPr>
            <w:r w:rsidRPr="00E628B3">
              <w:rPr>
                <w:color w:val="000000"/>
                <w:sz w:val="22"/>
                <w:szCs w:val="22"/>
                <w:lang w:val="nl-NL"/>
              </w:rPr>
              <w:t xml:space="preserve">   - VPCP: BTCN, các PCN, Cổng TTĐT, </w:t>
            </w:r>
          </w:p>
          <w:p w:rsidR="00DD72C7" w:rsidRPr="00E628B3" w:rsidRDefault="00DD72C7" w:rsidP="001235AD">
            <w:pPr>
              <w:spacing w:before="120" w:after="120" w:line="360" w:lineRule="auto"/>
              <w:jc w:val="both"/>
              <w:rPr>
                <w:color w:val="000000"/>
                <w:sz w:val="22"/>
                <w:szCs w:val="22"/>
                <w:lang w:val="nl-NL"/>
              </w:rPr>
            </w:pPr>
            <w:r w:rsidRPr="00E628B3">
              <w:rPr>
                <w:color w:val="000000"/>
                <w:sz w:val="22"/>
                <w:szCs w:val="22"/>
                <w:lang w:val="nl-NL"/>
              </w:rPr>
              <w:t xml:space="preserve">   - các Vụ, Cục, đơn vị trực thuộc, Công báo;</w:t>
            </w:r>
          </w:p>
          <w:p w:rsidR="00DD72C7" w:rsidRPr="00E628B3" w:rsidRDefault="00DD72C7" w:rsidP="001235AD">
            <w:pPr>
              <w:spacing w:before="120" w:after="120" w:line="360" w:lineRule="auto"/>
              <w:rPr>
                <w:sz w:val="22"/>
                <w:szCs w:val="22"/>
                <w:lang w:val="nl-NL"/>
              </w:rPr>
            </w:pPr>
            <w:r w:rsidRPr="00E628B3">
              <w:rPr>
                <w:color w:val="000000"/>
                <w:sz w:val="22"/>
                <w:szCs w:val="22"/>
                <w:lang w:val="nl-NL"/>
              </w:rPr>
              <w:t xml:space="preserve">   </w:t>
            </w:r>
            <w:r w:rsidRPr="00E628B3">
              <w:rPr>
                <w:color w:val="000000"/>
                <w:sz w:val="22"/>
                <w:szCs w:val="22"/>
              </w:rPr>
              <w:t xml:space="preserve">- Lưu: Văn thư, KTTH (5b). </w:t>
            </w:r>
          </w:p>
        </w:tc>
        <w:tc>
          <w:tcPr>
            <w:tcW w:w="3720" w:type="dxa"/>
          </w:tcPr>
          <w:p w:rsidR="00DD72C7" w:rsidRPr="000056F3" w:rsidRDefault="00DD72C7" w:rsidP="001235AD">
            <w:pPr>
              <w:spacing w:before="120" w:after="120" w:line="360" w:lineRule="auto"/>
              <w:rPr>
                <w:b/>
                <w:sz w:val="26"/>
                <w:szCs w:val="26"/>
                <w:lang w:val="nl-NL"/>
              </w:rPr>
            </w:pPr>
            <w:r w:rsidRPr="000056F3">
              <w:rPr>
                <w:b/>
                <w:sz w:val="26"/>
                <w:szCs w:val="26"/>
                <w:lang w:val="nl-NL"/>
              </w:rPr>
              <w:t>THỦ TƯỚNG</w:t>
            </w:r>
          </w:p>
          <w:p w:rsidR="00DD72C7" w:rsidRPr="000056F3" w:rsidRDefault="00DD72C7" w:rsidP="001235AD">
            <w:pPr>
              <w:spacing w:before="120" w:after="120" w:line="360" w:lineRule="auto"/>
              <w:rPr>
                <w:b/>
                <w:lang w:val="nl-NL"/>
              </w:rPr>
            </w:pPr>
          </w:p>
          <w:p w:rsidR="00DD72C7" w:rsidRDefault="00DD72C7" w:rsidP="001235AD">
            <w:pPr>
              <w:spacing w:before="120" w:after="120" w:line="360" w:lineRule="auto"/>
              <w:rPr>
                <w:b/>
                <w:lang w:val="nl-NL"/>
              </w:rPr>
            </w:pPr>
          </w:p>
          <w:p w:rsidR="00DD72C7" w:rsidRPr="00C01DAF" w:rsidRDefault="00DD72C7" w:rsidP="001235AD">
            <w:pPr>
              <w:spacing w:before="120" w:after="120" w:line="360" w:lineRule="auto"/>
              <w:ind w:firstLine="12"/>
              <w:rPr>
                <w:b/>
                <w:i/>
                <w:lang w:val="nl-NL"/>
              </w:rPr>
            </w:pPr>
            <w:r w:rsidRPr="00C01DAF">
              <w:rPr>
                <w:b/>
                <w:i/>
                <w:lang w:val="nl-NL"/>
              </w:rPr>
              <w:t>(Đã ký)</w:t>
            </w:r>
          </w:p>
          <w:p w:rsidR="00DD72C7" w:rsidRPr="000056F3" w:rsidRDefault="00DD72C7" w:rsidP="001235AD">
            <w:pPr>
              <w:spacing w:before="120" w:after="120" w:line="360" w:lineRule="auto"/>
              <w:rPr>
                <w:b/>
                <w:lang w:val="nl-NL"/>
              </w:rPr>
            </w:pPr>
          </w:p>
          <w:p w:rsidR="00DD72C7" w:rsidRPr="000056F3" w:rsidRDefault="00DD72C7" w:rsidP="001235AD">
            <w:pPr>
              <w:spacing w:before="120" w:after="120" w:line="360" w:lineRule="auto"/>
              <w:rPr>
                <w:b/>
                <w:lang w:val="nl-NL"/>
              </w:rPr>
            </w:pPr>
          </w:p>
          <w:p w:rsidR="00DD72C7" w:rsidRPr="000056F3" w:rsidRDefault="00DD72C7" w:rsidP="001235AD">
            <w:pPr>
              <w:spacing w:before="120" w:after="120" w:line="360" w:lineRule="auto"/>
              <w:rPr>
                <w:b/>
                <w:lang w:val="nl-NL"/>
              </w:rPr>
            </w:pPr>
            <w:r>
              <w:rPr>
                <w:b/>
                <w:lang w:val="nl-NL"/>
              </w:rPr>
              <w:t xml:space="preserve">    </w:t>
            </w:r>
            <w:r w:rsidRPr="000056F3">
              <w:rPr>
                <w:b/>
                <w:lang w:val="nl-NL"/>
              </w:rPr>
              <w:t>Nguyễn Tấn Dũng</w:t>
            </w:r>
          </w:p>
        </w:tc>
      </w:tr>
    </w:tbl>
    <w:p w:rsidR="00DD72C7" w:rsidRDefault="00DD72C7" w:rsidP="00DD72C7">
      <w:pPr>
        <w:spacing w:before="120" w:after="120" w:line="360" w:lineRule="auto"/>
        <w:ind w:firstLine="720"/>
        <w:jc w:val="both"/>
        <w:rPr>
          <w:sz w:val="16"/>
          <w:szCs w:val="16"/>
          <w:lang w:val="nl-NL"/>
        </w:rPr>
      </w:pPr>
    </w:p>
    <w:p w:rsidR="00DD72C7" w:rsidRPr="006A6AB9" w:rsidRDefault="00DD72C7" w:rsidP="00DD72C7">
      <w:pPr>
        <w:spacing w:before="120" w:after="120" w:line="360" w:lineRule="auto"/>
        <w:ind w:firstLine="720"/>
        <w:jc w:val="both"/>
        <w:rPr>
          <w:sz w:val="28"/>
          <w:szCs w:val="28"/>
          <w:lang w:val="nl-NL"/>
        </w:rPr>
      </w:pPr>
      <w:r>
        <w:rPr>
          <w:lang w:val="nl-NL"/>
        </w:rPr>
        <w:br w:type="page"/>
      </w:r>
    </w:p>
    <w:p w:rsidR="00DD72C7" w:rsidRPr="00025B6D" w:rsidRDefault="00DD72C7" w:rsidP="00DD72C7"/>
    <w:p w:rsidR="003C3FB5" w:rsidRPr="00DD72C7" w:rsidRDefault="003C3FB5" w:rsidP="00DD72C7"/>
    <w:sectPr w:rsidR="003C3FB5" w:rsidRPr="00DD72C7" w:rsidSect="00D9152F">
      <w:headerReference w:type="even" r:id="rId7"/>
      <w:headerReference w:type="default" r:id="rId8"/>
      <w:footerReference w:type="even" r:id="rId9"/>
      <w:footerReference w:type="default" r:id="rId10"/>
      <w:headerReference w:type="first" r:id="rId11"/>
      <w:footerReference w:type="first" r:id="rId12"/>
      <w:pgSz w:w="11907" w:h="16840" w:code="9"/>
      <w:pgMar w:top="1620" w:right="510" w:bottom="1170" w:left="1304" w:header="340" w:footer="39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BBE" w:rsidRDefault="00065BBE" w:rsidP="00D9152F">
      <w:r>
        <w:separator/>
      </w:r>
    </w:p>
  </w:endnote>
  <w:endnote w:type="continuationSeparator" w:id="0">
    <w:p w:rsidR="00065BBE" w:rsidRDefault="00065BBE" w:rsidP="00D9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nTime">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027" w:rsidRDefault="0028002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F66" w:rsidRPr="00A67571" w:rsidRDefault="00667F66" w:rsidP="00667F66">
    <w:pPr>
      <w:pStyle w:val="Footer"/>
    </w:pPr>
    <w:r w:rsidRPr="00A67571">
      <w:rPr>
        <w:b/>
        <w:color w:val="FF0000"/>
      </w:rPr>
      <w:t>TỔNG ĐÀI TƯ VẤN PHÁP LUẬT TRỰC TUYẾN 24/7: 1900.6190 – 1900.6212</w:t>
    </w:r>
  </w:p>
  <w:p w:rsidR="00667F66" w:rsidRPr="00A67571" w:rsidRDefault="00667F66" w:rsidP="00667F66">
    <w:pPr>
      <w:pStyle w:val="Footer"/>
    </w:pPr>
  </w:p>
  <w:p w:rsidR="00D9152F" w:rsidRPr="00667F66" w:rsidRDefault="00D9152F" w:rsidP="00667F6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027" w:rsidRDefault="0028002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BBE" w:rsidRDefault="00065BBE" w:rsidP="00D9152F">
      <w:r>
        <w:separator/>
      </w:r>
    </w:p>
  </w:footnote>
  <w:footnote w:type="continuationSeparator" w:id="0">
    <w:p w:rsidR="00065BBE" w:rsidRDefault="00065BBE" w:rsidP="00D915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027" w:rsidRDefault="0028002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667F66" w:rsidRPr="00A67571" w:rsidTr="001235AD">
      <w:trPr>
        <w:trHeight w:val="1208"/>
      </w:trPr>
      <w:tc>
        <w:tcPr>
          <w:tcW w:w="2411" w:type="dxa"/>
          <w:tcBorders>
            <w:top w:val="nil"/>
            <w:left w:val="nil"/>
            <w:bottom w:val="single" w:sz="4" w:space="0" w:color="auto"/>
            <w:right w:val="nil"/>
          </w:tcBorders>
          <w:vAlign w:val="center"/>
          <w:hideMark/>
        </w:tcPr>
        <w:p w:rsidR="00667F66" w:rsidRPr="00A67571" w:rsidRDefault="00667F66" w:rsidP="001235AD">
          <w:pPr>
            <w:rPr>
              <w:b/>
              <w:sz w:val="20"/>
            </w:rPr>
          </w:pPr>
          <w:r w:rsidRPr="00A67571">
            <w:rPr>
              <w:b/>
              <w:sz w:val="20"/>
            </w:rPr>
            <w:t xml:space="preserve">        </w:t>
          </w:r>
          <w:r>
            <w:rPr>
              <w:b/>
              <w:noProof/>
              <w:sz w:val="20"/>
            </w:rPr>
            <w:drawing>
              <wp:inline distT="0" distB="0" distL="0" distR="0">
                <wp:extent cx="1428750" cy="866775"/>
                <wp:effectExtent l="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280027" w:rsidRDefault="00280027" w:rsidP="00280027">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280027" w:rsidRDefault="00280027" w:rsidP="00280027">
          <w:pPr>
            <w:rPr>
              <w:sz w:val="20"/>
            </w:rPr>
          </w:pPr>
          <w:r>
            <w:rPr>
              <w:sz w:val="20"/>
            </w:rPr>
            <w:t>89 To Vinh Dien Street, Thanh Xuan District, Hanoi City, Viet Nam</w:t>
          </w:r>
        </w:p>
        <w:p w:rsidR="00280027" w:rsidRDefault="00280027" w:rsidP="00280027">
          <w:pPr>
            <w:rPr>
              <w:rFonts w:ascii="Calibri" w:hAnsi="Calibri"/>
              <w:sz w:val="20"/>
            </w:rPr>
          </w:pPr>
          <w:r>
            <w:rPr>
              <w:sz w:val="20"/>
            </w:rPr>
            <w:t>Tel:   1900.6568                             Fax: 024.73.000.111</w:t>
          </w:r>
        </w:p>
        <w:p w:rsidR="00667F66" w:rsidRPr="00A67571" w:rsidRDefault="00280027" w:rsidP="00280027">
          <w:pPr>
            <w:rPr>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0" w:name="_GoBack"/>
          <w:bookmarkEnd w:id="0"/>
        </w:p>
      </w:tc>
    </w:tr>
  </w:tbl>
  <w:p w:rsidR="002F4299" w:rsidRPr="00667F66" w:rsidRDefault="00065BBE" w:rsidP="00667F6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027" w:rsidRDefault="0028002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319E"/>
    <w:multiLevelType w:val="multilevel"/>
    <w:tmpl w:val="AB7663E8"/>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A1210E3"/>
    <w:multiLevelType w:val="multilevel"/>
    <w:tmpl w:val="A1F00802"/>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0E57BE"/>
    <w:multiLevelType w:val="multilevel"/>
    <w:tmpl w:val="835CE850"/>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4897CC2"/>
    <w:multiLevelType w:val="multilevel"/>
    <w:tmpl w:val="8780DCE4"/>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9612DB9"/>
    <w:multiLevelType w:val="multilevel"/>
    <w:tmpl w:val="8780DCE4"/>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4332DA3"/>
    <w:multiLevelType w:val="hybridMultilevel"/>
    <w:tmpl w:val="CF9C4104"/>
    <w:lvl w:ilvl="0" w:tplc="97C4CF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77D1FD3"/>
    <w:multiLevelType w:val="multilevel"/>
    <w:tmpl w:val="A1F00802"/>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CA44FF4"/>
    <w:multiLevelType w:val="multilevel"/>
    <w:tmpl w:val="E2624B00"/>
    <w:lvl w:ilvl="0">
      <w:start w:val="1"/>
      <w:numFmt w:val="decimal"/>
      <w:lvlText w:val="Điều %1. "/>
      <w:lvlJc w:val="righ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ED55160"/>
    <w:multiLevelType w:val="multilevel"/>
    <w:tmpl w:val="B8B0D508"/>
    <w:lvl w:ilvl="0">
      <w:start w:val="1"/>
      <w:numFmt w:val="decimal"/>
      <w:lvlText w:val="Điều %1. "/>
      <w:lvlJc w:val="center"/>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09879B1"/>
    <w:multiLevelType w:val="multilevel"/>
    <w:tmpl w:val="BF328F02"/>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73F0D73"/>
    <w:multiLevelType w:val="multilevel"/>
    <w:tmpl w:val="835CE850"/>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2"/>
  </w:num>
  <w:num w:numId="3">
    <w:abstractNumId w:val="1"/>
  </w:num>
  <w:num w:numId="4">
    <w:abstractNumId w:val="6"/>
  </w:num>
  <w:num w:numId="5">
    <w:abstractNumId w:val="3"/>
  </w:num>
  <w:num w:numId="6">
    <w:abstractNumId w:val="4"/>
  </w:num>
  <w:num w:numId="7">
    <w:abstractNumId w:val="0"/>
  </w:num>
  <w:num w:numId="8">
    <w:abstractNumId w:val="8"/>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52F"/>
    <w:rsid w:val="00004E86"/>
    <w:rsid w:val="00065BBE"/>
    <w:rsid w:val="00173992"/>
    <w:rsid w:val="001B5441"/>
    <w:rsid w:val="001E2C48"/>
    <w:rsid w:val="00204E8C"/>
    <w:rsid w:val="00243C55"/>
    <w:rsid w:val="002720B6"/>
    <w:rsid w:val="00280027"/>
    <w:rsid w:val="002C23E5"/>
    <w:rsid w:val="002D0229"/>
    <w:rsid w:val="00315ABB"/>
    <w:rsid w:val="003423FB"/>
    <w:rsid w:val="0034766C"/>
    <w:rsid w:val="00355F35"/>
    <w:rsid w:val="003C3FB5"/>
    <w:rsid w:val="00411A50"/>
    <w:rsid w:val="004D0C9E"/>
    <w:rsid w:val="004F6375"/>
    <w:rsid w:val="005018E4"/>
    <w:rsid w:val="00534881"/>
    <w:rsid w:val="00535951"/>
    <w:rsid w:val="005531CD"/>
    <w:rsid w:val="00571B54"/>
    <w:rsid w:val="005D507F"/>
    <w:rsid w:val="0062074F"/>
    <w:rsid w:val="00667F66"/>
    <w:rsid w:val="00671A17"/>
    <w:rsid w:val="00686662"/>
    <w:rsid w:val="006D66BF"/>
    <w:rsid w:val="006F55B5"/>
    <w:rsid w:val="00705FA7"/>
    <w:rsid w:val="00715417"/>
    <w:rsid w:val="00726572"/>
    <w:rsid w:val="0073387E"/>
    <w:rsid w:val="00747965"/>
    <w:rsid w:val="00757273"/>
    <w:rsid w:val="007D6C38"/>
    <w:rsid w:val="007E1005"/>
    <w:rsid w:val="00804D15"/>
    <w:rsid w:val="00817063"/>
    <w:rsid w:val="00841AFD"/>
    <w:rsid w:val="008D06F6"/>
    <w:rsid w:val="00912BDF"/>
    <w:rsid w:val="00916C35"/>
    <w:rsid w:val="0093601B"/>
    <w:rsid w:val="009545AF"/>
    <w:rsid w:val="00993721"/>
    <w:rsid w:val="00A47944"/>
    <w:rsid w:val="00AB7845"/>
    <w:rsid w:val="00AC6489"/>
    <w:rsid w:val="00B07765"/>
    <w:rsid w:val="00B12B59"/>
    <w:rsid w:val="00B244DE"/>
    <w:rsid w:val="00B5216B"/>
    <w:rsid w:val="00C26225"/>
    <w:rsid w:val="00C36E7C"/>
    <w:rsid w:val="00C84163"/>
    <w:rsid w:val="00C9444D"/>
    <w:rsid w:val="00C965BB"/>
    <w:rsid w:val="00CC2416"/>
    <w:rsid w:val="00CE0854"/>
    <w:rsid w:val="00D34F96"/>
    <w:rsid w:val="00D9152F"/>
    <w:rsid w:val="00DD72C7"/>
    <w:rsid w:val="00E06E5D"/>
    <w:rsid w:val="00F03E50"/>
    <w:rsid w:val="00F03F8E"/>
    <w:rsid w:val="00F10FBE"/>
    <w:rsid w:val="00F244D4"/>
    <w:rsid w:val="00F55338"/>
    <w:rsid w:val="00FF7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D9865F-D3C0-4238-A2E4-2E73A2180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link w:val="Heading1Char"/>
    <w:qFormat/>
    <w:rsid w:val="0068666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6866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686662"/>
    <w:pPr>
      <w:spacing w:before="100" w:beforeAutospacing="1" w:after="100" w:afterAutospacing="1"/>
      <w:outlineLvl w:val="2"/>
    </w:pPr>
    <w:rPr>
      <w:b/>
      <w:bCs/>
      <w:sz w:val="27"/>
      <w:szCs w:val="27"/>
    </w:rPr>
  </w:style>
  <w:style w:type="paragraph" w:styleId="Heading4">
    <w:name w:val="heading 4"/>
    <w:basedOn w:val="Normal"/>
    <w:link w:val="Heading4Char"/>
    <w:qFormat/>
    <w:rsid w:val="00686662"/>
    <w:pPr>
      <w:spacing w:before="100" w:beforeAutospacing="1" w:after="100" w:afterAutospacing="1"/>
      <w:outlineLvl w:val="3"/>
    </w:pPr>
    <w:rPr>
      <w:b/>
      <w:bCs/>
    </w:rPr>
  </w:style>
  <w:style w:type="paragraph" w:styleId="Heading5">
    <w:name w:val="heading 5"/>
    <w:basedOn w:val="Normal"/>
    <w:link w:val="Heading5Char"/>
    <w:qFormat/>
    <w:rsid w:val="00686662"/>
    <w:pPr>
      <w:spacing w:before="100" w:beforeAutospacing="1" w:after="100" w:afterAutospacing="1"/>
      <w:outlineLvl w:val="4"/>
    </w:pPr>
    <w:rPr>
      <w:b/>
      <w:bCs/>
      <w:sz w:val="20"/>
      <w:szCs w:val="20"/>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uiPriority w:val="99"/>
    <w:rsid w:val="00D9152F"/>
    <w:pPr>
      <w:tabs>
        <w:tab w:val="center" w:pos="4320"/>
        <w:tab w:val="right" w:pos="8640"/>
      </w:tabs>
    </w:pPr>
  </w:style>
  <w:style w:type="character" w:customStyle="1" w:styleId="HeaderChar">
    <w:name w:val="Header Char"/>
    <w:basedOn w:val="DefaultParagraphFont"/>
    <w:link w:val="Header"/>
    <w:uiPriority w:val="99"/>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uiPriority w:val="99"/>
    <w:semiHidden/>
    <w:rsid w:val="00D9152F"/>
    <w:rPr>
      <w:rFonts w:ascii="Tahoma" w:hAnsi="Tahoma" w:cs="Tahoma"/>
      <w:sz w:val="16"/>
      <w:szCs w:val="16"/>
    </w:rPr>
  </w:style>
  <w:style w:type="character" w:customStyle="1" w:styleId="BalloonTextChar">
    <w:name w:val="Balloon Text Char"/>
    <w:basedOn w:val="DefaultParagraphFont"/>
    <w:link w:val="BalloonText"/>
    <w:uiPriority w:val="99"/>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uiPriority w:val="99"/>
    <w:rsid w:val="00D9152F"/>
    <w:rPr>
      <w:color w:val="000080"/>
      <w:u w:val="single"/>
    </w:rPr>
  </w:style>
  <w:style w:type="character" w:customStyle="1" w:styleId="apple-converted-space">
    <w:name w:val="apple-converted-space"/>
    <w:basedOn w:val="DefaultParagraphFont"/>
    <w:rsid w:val="00993721"/>
  </w:style>
  <w:style w:type="character" w:customStyle="1" w:styleId="Heading2Char">
    <w:name w:val="Heading 2 Char"/>
    <w:basedOn w:val="DefaultParagraphFont"/>
    <w:link w:val="Heading2"/>
    <w:rsid w:val="0068666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686662"/>
    <w:rPr>
      <w:rFonts w:eastAsia="Times New Roman" w:cs="Times New Roman"/>
      <w:b/>
      <w:bCs/>
      <w:kern w:val="36"/>
      <w:sz w:val="48"/>
      <w:szCs w:val="48"/>
    </w:rPr>
  </w:style>
  <w:style w:type="character" w:customStyle="1" w:styleId="Heading3Char">
    <w:name w:val="Heading 3 Char"/>
    <w:basedOn w:val="DefaultParagraphFont"/>
    <w:link w:val="Heading3"/>
    <w:rsid w:val="00686662"/>
    <w:rPr>
      <w:rFonts w:eastAsia="Times New Roman" w:cs="Times New Roman"/>
      <w:b/>
      <w:bCs/>
      <w:sz w:val="27"/>
      <w:szCs w:val="27"/>
    </w:rPr>
  </w:style>
  <w:style w:type="character" w:customStyle="1" w:styleId="Heading4Char">
    <w:name w:val="Heading 4 Char"/>
    <w:basedOn w:val="DefaultParagraphFont"/>
    <w:link w:val="Heading4"/>
    <w:rsid w:val="00686662"/>
    <w:rPr>
      <w:rFonts w:eastAsia="Times New Roman" w:cs="Times New Roman"/>
      <w:b/>
      <w:bCs/>
      <w:sz w:val="24"/>
      <w:szCs w:val="24"/>
    </w:rPr>
  </w:style>
  <w:style w:type="character" w:customStyle="1" w:styleId="Heading5Char">
    <w:name w:val="Heading 5 Char"/>
    <w:basedOn w:val="DefaultParagraphFont"/>
    <w:link w:val="Heading5"/>
    <w:rsid w:val="00686662"/>
    <w:rPr>
      <w:rFonts w:eastAsia="Times New Roman" w:cs="Times New Roman"/>
      <w:b/>
      <w:bCs/>
      <w:sz w:val="20"/>
      <w:szCs w:val="20"/>
    </w:rPr>
  </w:style>
  <w:style w:type="paragraph" w:customStyle="1" w:styleId="CharCharCharChar">
    <w:name w:val="Char Char Char Char"/>
    <w:basedOn w:val="Normal"/>
    <w:semiHidden/>
    <w:rsid w:val="00686662"/>
    <w:pPr>
      <w:spacing w:after="160" w:line="240" w:lineRule="exact"/>
    </w:pPr>
    <w:rPr>
      <w:rFonts w:ascii="Arial" w:hAnsi="Arial"/>
      <w:sz w:val="22"/>
      <w:szCs w:val="22"/>
    </w:rPr>
  </w:style>
  <w:style w:type="paragraph" w:styleId="BodyText3">
    <w:name w:val="Body Text 3"/>
    <w:basedOn w:val="Normal"/>
    <w:link w:val="BodyText3Char"/>
    <w:rsid w:val="00686662"/>
    <w:pPr>
      <w:spacing w:before="100" w:beforeAutospacing="1" w:after="100" w:afterAutospacing="1"/>
    </w:pPr>
  </w:style>
  <w:style w:type="character" w:customStyle="1" w:styleId="BodyText3Char">
    <w:name w:val="Body Text 3 Char"/>
    <w:basedOn w:val="DefaultParagraphFont"/>
    <w:link w:val="BodyText3"/>
    <w:rsid w:val="00686662"/>
    <w:rPr>
      <w:rFonts w:eastAsia="Times New Roman" w:cs="Times New Roman"/>
      <w:sz w:val="24"/>
      <w:szCs w:val="24"/>
    </w:rPr>
  </w:style>
  <w:style w:type="character" w:styleId="PageNumber">
    <w:name w:val="page number"/>
    <w:basedOn w:val="DefaultParagraphFont"/>
    <w:rsid w:val="00686662"/>
  </w:style>
  <w:style w:type="table" w:styleId="TableGrid">
    <w:name w:val="Table Grid"/>
    <w:basedOn w:val="TableNormal"/>
    <w:rsid w:val="00686662"/>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686662"/>
    <w:pPr>
      <w:spacing w:before="120" w:line="340" w:lineRule="exact"/>
      <w:jc w:val="both"/>
    </w:pPr>
    <w:rPr>
      <w:rFonts w:ascii=".VnTime" w:hAnsi=".VnTime"/>
      <w:sz w:val="26"/>
      <w:szCs w:val="20"/>
    </w:rPr>
  </w:style>
  <w:style w:type="character" w:customStyle="1" w:styleId="EndnoteTextChar">
    <w:name w:val="Endnote Text Char"/>
    <w:basedOn w:val="DefaultParagraphFont"/>
    <w:link w:val="EndnoteText"/>
    <w:semiHidden/>
    <w:rsid w:val="00686662"/>
    <w:rPr>
      <w:rFonts w:ascii=".VnTime" w:eastAsia="Times New Roman" w:hAnsi=".VnTime" w:cs="Times New Roman"/>
      <w:sz w:val="26"/>
      <w:szCs w:val="20"/>
    </w:rPr>
  </w:style>
  <w:style w:type="paragraph" w:customStyle="1" w:styleId="dieu">
    <w:name w:val="dieu"/>
    <w:basedOn w:val="Normal"/>
    <w:link w:val="dieuChar"/>
    <w:rsid w:val="00686662"/>
    <w:pPr>
      <w:spacing w:after="120"/>
      <w:ind w:firstLine="720"/>
    </w:pPr>
    <w:rPr>
      <w:b/>
      <w:color w:val="0000FF"/>
      <w:sz w:val="26"/>
      <w:szCs w:val="20"/>
    </w:rPr>
  </w:style>
  <w:style w:type="character" w:customStyle="1" w:styleId="dieuChar">
    <w:name w:val="dieu Char"/>
    <w:basedOn w:val="DefaultParagraphFont"/>
    <w:link w:val="dieu"/>
    <w:rsid w:val="00686662"/>
    <w:rPr>
      <w:rFonts w:eastAsia="Times New Roman" w:cs="Times New Roman"/>
      <w:b/>
      <w:color w:val="0000FF"/>
      <w:sz w:val="26"/>
      <w:szCs w:val="20"/>
    </w:rPr>
  </w:style>
  <w:style w:type="paragraph" w:styleId="TOC2">
    <w:name w:val="toc 2"/>
    <w:basedOn w:val="Normal"/>
    <w:next w:val="Normal"/>
    <w:autoRedefine/>
    <w:semiHidden/>
    <w:rsid w:val="00686662"/>
    <w:pPr>
      <w:ind w:left="240"/>
    </w:pPr>
  </w:style>
  <w:style w:type="paragraph" w:styleId="TOC1">
    <w:name w:val="toc 1"/>
    <w:basedOn w:val="Normal"/>
    <w:next w:val="Normal"/>
    <w:autoRedefine/>
    <w:semiHidden/>
    <w:rsid w:val="00686662"/>
    <w:pPr>
      <w:tabs>
        <w:tab w:val="right" w:leader="dot" w:pos="9062"/>
      </w:tabs>
      <w:spacing w:before="40"/>
    </w:pPr>
    <w:rPr>
      <w:bCs/>
      <w:noProof/>
      <w:spacing w:val="-14"/>
      <w:sz w:val="25"/>
      <w:szCs w:val="25"/>
      <w:lang w:val="vi-VN"/>
    </w:rPr>
  </w:style>
  <w:style w:type="paragraph" w:styleId="TOC3">
    <w:name w:val="toc 3"/>
    <w:basedOn w:val="Normal"/>
    <w:next w:val="Normal"/>
    <w:autoRedefine/>
    <w:semiHidden/>
    <w:rsid w:val="00686662"/>
    <w:pPr>
      <w:ind w:left="480"/>
    </w:pPr>
  </w:style>
  <w:style w:type="paragraph" w:customStyle="1" w:styleId="nd">
    <w:name w:val="nd"/>
    <w:basedOn w:val="Normal"/>
    <w:semiHidden/>
    <w:rsid w:val="00686662"/>
    <w:pPr>
      <w:overflowPunct w:val="0"/>
      <w:autoSpaceDE w:val="0"/>
      <w:autoSpaceDN w:val="0"/>
      <w:adjustRightInd w:val="0"/>
      <w:spacing w:before="120" w:line="300" w:lineRule="atLeast"/>
      <w:ind w:firstLine="567"/>
      <w:jc w:val="both"/>
      <w:textAlignment w:val="baseline"/>
    </w:pPr>
    <w:rPr>
      <w:rFonts w:ascii=".VnTime" w:hAnsi=".VnTime" w:cs=".VnTime"/>
      <w:sz w:val="26"/>
      <w:szCs w:val="26"/>
    </w:rPr>
  </w:style>
  <w:style w:type="paragraph" w:customStyle="1" w:styleId="6">
    <w:name w:val="6"/>
    <w:basedOn w:val="Normal"/>
    <w:rsid w:val="00686662"/>
    <w:pPr>
      <w:overflowPunct w:val="0"/>
      <w:autoSpaceDE w:val="0"/>
      <w:autoSpaceDN w:val="0"/>
      <w:adjustRightInd w:val="0"/>
      <w:spacing w:before="120" w:after="120"/>
      <w:ind w:firstLine="567"/>
      <w:jc w:val="both"/>
      <w:textAlignment w:val="baseline"/>
    </w:pPr>
    <w:rPr>
      <w:b/>
      <w:bCs/>
      <w:sz w:val="28"/>
      <w:szCs w:val="28"/>
      <w:lang w:val="nl-NL"/>
    </w:rPr>
  </w:style>
  <w:style w:type="paragraph" w:styleId="TOC4">
    <w:name w:val="toc 4"/>
    <w:basedOn w:val="Normal"/>
    <w:next w:val="Normal"/>
    <w:autoRedefine/>
    <w:semiHidden/>
    <w:rsid w:val="00686662"/>
    <w:pPr>
      <w:ind w:left="720"/>
    </w:pPr>
  </w:style>
  <w:style w:type="character" w:customStyle="1" w:styleId="normal-h1">
    <w:name w:val="normal-h1"/>
    <w:basedOn w:val="DefaultParagraphFont"/>
    <w:rsid w:val="00686662"/>
    <w:rPr>
      <w:rFonts w:ascii="Times New Roman" w:hAnsi="Times New Roman" w:cs="Times New Roman" w:hint="default"/>
      <w:color w:val="0000FF"/>
      <w:sz w:val="24"/>
      <w:szCs w:val="24"/>
    </w:rPr>
  </w:style>
  <w:style w:type="paragraph" w:customStyle="1" w:styleId="normal-p">
    <w:name w:val="normal-p"/>
    <w:basedOn w:val="Normal"/>
    <w:rsid w:val="00686662"/>
    <w:pPr>
      <w:jc w:val="both"/>
    </w:pPr>
    <w:rPr>
      <w:sz w:val="20"/>
      <w:szCs w:val="20"/>
    </w:rPr>
  </w:style>
  <w:style w:type="paragraph" w:customStyle="1" w:styleId="Char1">
    <w:name w:val="Char1"/>
    <w:basedOn w:val="Normal"/>
    <w:rsid w:val="00686662"/>
    <w:pPr>
      <w:pageBreakBefore/>
      <w:spacing w:before="100" w:beforeAutospacing="1" w:after="100" w:afterAutospacing="1"/>
      <w:jc w:val="both"/>
    </w:pPr>
    <w:rPr>
      <w:rFonts w:ascii="Tahoma" w:hAnsi="Tahoma"/>
      <w:sz w:val="20"/>
      <w:szCs w:val="20"/>
    </w:rPr>
  </w:style>
  <w:style w:type="paragraph" w:customStyle="1" w:styleId="CharCharCharCharCharChar">
    <w:name w:val="Char Char Char Char Char Char"/>
    <w:basedOn w:val="Normal"/>
    <w:next w:val="Normal"/>
    <w:autoRedefine/>
    <w:semiHidden/>
    <w:rsid w:val="00686662"/>
    <w:pPr>
      <w:spacing w:before="120" w:after="120" w:line="312" w:lineRule="auto"/>
    </w:pPr>
    <w:rPr>
      <w:sz w:val="28"/>
      <w:szCs w:val="28"/>
    </w:rPr>
  </w:style>
  <w:style w:type="paragraph" w:customStyle="1" w:styleId="CharCharCharCharCharCharCharCharCharChar">
    <w:name w:val="Char Char Char Char Char Char Char Char Char Char"/>
    <w:basedOn w:val="Normal"/>
    <w:semiHidden/>
    <w:rsid w:val="00DD72C7"/>
    <w:pPr>
      <w:spacing w:after="160" w:line="240" w:lineRule="exact"/>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06826">
      <w:bodyDiv w:val="1"/>
      <w:marLeft w:val="0"/>
      <w:marRight w:val="0"/>
      <w:marTop w:val="0"/>
      <w:marBottom w:val="0"/>
      <w:divBdr>
        <w:top w:val="none" w:sz="0" w:space="0" w:color="auto"/>
        <w:left w:val="none" w:sz="0" w:space="0" w:color="auto"/>
        <w:bottom w:val="none" w:sz="0" w:space="0" w:color="auto"/>
        <w:right w:val="none" w:sz="0" w:space="0" w:color="auto"/>
      </w:divBdr>
      <w:divsChild>
        <w:div w:id="1610576846">
          <w:marLeft w:val="0"/>
          <w:marRight w:val="0"/>
          <w:marTop w:val="0"/>
          <w:marBottom w:val="0"/>
          <w:divBdr>
            <w:top w:val="none" w:sz="0" w:space="0" w:color="auto"/>
            <w:left w:val="none" w:sz="0" w:space="0" w:color="auto"/>
            <w:bottom w:val="none" w:sz="0" w:space="0" w:color="auto"/>
            <w:right w:val="none" w:sz="0" w:space="0" w:color="auto"/>
          </w:divBdr>
        </w:div>
        <w:div w:id="1622685002">
          <w:marLeft w:val="0"/>
          <w:marRight w:val="0"/>
          <w:marTop w:val="0"/>
          <w:marBottom w:val="0"/>
          <w:divBdr>
            <w:top w:val="none" w:sz="0" w:space="0" w:color="auto"/>
            <w:left w:val="none" w:sz="0" w:space="0" w:color="auto"/>
            <w:bottom w:val="none" w:sz="0" w:space="0" w:color="auto"/>
            <w:right w:val="none" w:sz="0" w:space="0" w:color="auto"/>
          </w:divBdr>
        </w:div>
        <w:div w:id="1899172041">
          <w:marLeft w:val="0"/>
          <w:marRight w:val="0"/>
          <w:marTop w:val="0"/>
          <w:marBottom w:val="0"/>
          <w:divBdr>
            <w:top w:val="none" w:sz="0" w:space="0" w:color="auto"/>
            <w:left w:val="none" w:sz="0" w:space="0" w:color="auto"/>
            <w:bottom w:val="none" w:sz="0" w:space="0" w:color="auto"/>
            <w:right w:val="none" w:sz="0" w:space="0" w:color="auto"/>
          </w:divBdr>
        </w:div>
        <w:div w:id="1043674655">
          <w:marLeft w:val="0"/>
          <w:marRight w:val="0"/>
          <w:marTop w:val="0"/>
          <w:marBottom w:val="0"/>
          <w:divBdr>
            <w:top w:val="none" w:sz="0" w:space="0" w:color="auto"/>
            <w:left w:val="none" w:sz="0" w:space="0" w:color="auto"/>
            <w:bottom w:val="none" w:sz="0" w:space="0" w:color="auto"/>
            <w:right w:val="none" w:sz="0" w:space="0" w:color="auto"/>
          </w:divBdr>
          <w:divsChild>
            <w:div w:id="18408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89940">
      <w:bodyDiv w:val="1"/>
      <w:marLeft w:val="0"/>
      <w:marRight w:val="0"/>
      <w:marTop w:val="0"/>
      <w:marBottom w:val="0"/>
      <w:divBdr>
        <w:top w:val="none" w:sz="0" w:space="0" w:color="auto"/>
        <w:left w:val="none" w:sz="0" w:space="0" w:color="auto"/>
        <w:bottom w:val="none" w:sz="0" w:space="0" w:color="auto"/>
        <w:right w:val="none" w:sz="0" w:space="0" w:color="auto"/>
      </w:divBdr>
    </w:div>
    <w:div w:id="742990367">
      <w:bodyDiv w:val="1"/>
      <w:marLeft w:val="0"/>
      <w:marRight w:val="0"/>
      <w:marTop w:val="0"/>
      <w:marBottom w:val="0"/>
      <w:divBdr>
        <w:top w:val="none" w:sz="0" w:space="0" w:color="auto"/>
        <w:left w:val="none" w:sz="0" w:space="0" w:color="auto"/>
        <w:bottom w:val="none" w:sz="0" w:space="0" w:color="auto"/>
        <w:right w:val="none" w:sz="0" w:space="0" w:color="auto"/>
      </w:divBdr>
      <w:divsChild>
        <w:div w:id="1378704594">
          <w:marLeft w:val="0"/>
          <w:marRight w:val="0"/>
          <w:marTop w:val="0"/>
          <w:marBottom w:val="0"/>
          <w:divBdr>
            <w:top w:val="none" w:sz="0" w:space="0" w:color="auto"/>
            <w:left w:val="none" w:sz="0" w:space="0" w:color="auto"/>
            <w:bottom w:val="none" w:sz="0" w:space="0" w:color="auto"/>
            <w:right w:val="none" w:sz="0" w:space="0" w:color="auto"/>
          </w:divBdr>
        </w:div>
        <w:div w:id="81687708">
          <w:marLeft w:val="0"/>
          <w:marRight w:val="0"/>
          <w:marTop w:val="0"/>
          <w:marBottom w:val="0"/>
          <w:divBdr>
            <w:top w:val="none" w:sz="0" w:space="0" w:color="auto"/>
            <w:left w:val="none" w:sz="0" w:space="0" w:color="auto"/>
            <w:bottom w:val="none" w:sz="0" w:space="0" w:color="auto"/>
            <w:right w:val="none" w:sz="0" w:space="0" w:color="auto"/>
          </w:divBdr>
        </w:div>
        <w:div w:id="917590113">
          <w:marLeft w:val="0"/>
          <w:marRight w:val="0"/>
          <w:marTop w:val="0"/>
          <w:marBottom w:val="0"/>
          <w:divBdr>
            <w:top w:val="none" w:sz="0" w:space="0" w:color="auto"/>
            <w:left w:val="none" w:sz="0" w:space="0" w:color="auto"/>
            <w:bottom w:val="none" w:sz="0" w:space="0" w:color="auto"/>
            <w:right w:val="none" w:sz="0" w:space="0" w:color="auto"/>
          </w:divBdr>
        </w:div>
        <w:div w:id="848983609">
          <w:marLeft w:val="0"/>
          <w:marRight w:val="0"/>
          <w:marTop w:val="0"/>
          <w:marBottom w:val="0"/>
          <w:divBdr>
            <w:top w:val="none" w:sz="0" w:space="0" w:color="auto"/>
            <w:left w:val="none" w:sz="0" w:space="0" w:color="auto"/>
            <w:bottom w:val="none" w:sz="0" w:space="0" w:color="auto"/>
            <w:right w:val="none" w:sz="0" w:space="0" w:color="auto"/>
          </w:divBdr>
          <w:divsChild>
            <w:div w:id="119553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845995">
      <w:bodyDiv w:val="1"/>
      <w:marLeft w:val="0"/>
      <w:marRight w:val="0"/>
      <w:marTop w:val="0"/>
      <w:marBottom w:val="0"/>
      <w:divBdr>
        <w:top w:val="none" w:sz="0" w:space="0" w:color="auto"/>
        <w:left w:val="none" w:sz="0" w:space="0" w:color="auto"/>
        <w:bottom w:val="none" w:sz="0" w:space="0" w:color="auto"/>
        <w:right w:val="none" w:sz="0" w:space="0" w:color="auto"/>
      </w:divBdr>
      <w:divsChild>
        <w:div w:id="1068379296">
          <w:marLeft w:val="0"/>
          <w:marRight w:val="0"/>
          <w:marTop w:val="0"/>
          <w:marBottom w:val="0"/>
          <w:divBdr>
            <w:top w:val="none" w:sz="0" w:space="0" w:color="auto"/>
            <w:left w:val="none" w:sz="0" w:space="0" w:color="auto"/>
            <w:bottom w:val="none" w:sz="0" w:space="0" w:color="auto"/>
            <w:right w:val="none" w:sz="0" w:space="0" w:color="auto"/>
          </w:divBdr>
        </w:div>
        <w:div w:id="422335184">
          <w:marLeft w:val="0"/>
          <w:marRight w:val="0"/>
          <w:marTop w:val="0"/>
          <w:marBottom w:val="0"/>
          <w:divBdr>
            <w:top w:val="none" w:sz="0" w:space="0" w:color="auto"/>
            <w:left w:val="none" w:sz="0" w:space="0" w:color="auto"/>
            <w:bottom w:val="none" w:sz="0" w:space="0" w:color="auto"/>
            <w:right w:val="none" w:sz="0" w:space="0" w:color="auto"/>
          </w:divBdr>
        </w:div>
        <w:div w:id="127862799">
          <w:marLeft w:val="0"/>
          <w:marRight w:val="0"/>
          <w:marTop w:val="0"/>
          <w:marBottom w:val="0"/>
          <w:divBdr>
            <w:top w:val="none" w:sz="0" w:space="0" w:color="auto"/>
            <w:left w:val="none" w:sz="0" w:space="0" w:color="auto"/>
            <w:bottom w:val="none" w:sz="0" w:space="0" w:color="auto"/>
            <w:right w:val="none" w:sz="0" w:space="0" w:color="auto"/>
          </w:divBdr>
        </w:div>
        <w:div w:id="931082865">
          <w:marLeft w:val="0"/>
          <w:marRight w:val="0"/>
          <w:marTop w:val="0"/>
          <w:marBottom w:val="0"/>
          <w:divBdr>
            <w:top w:val="none" w:sz="0" w:space="0" w:color="auto"/>
            <w:left w:val="none" w:sz="0" w:space="0" w:color="auto"/>
            <w:bottom w:val="none" w:sz="0" w:space="0" w:color="auto"/>
            <w:right w:val="none" w:sz="0" w:space="0" w:color="auto"/>
          </w:divBdr>
        </w:div>
      </w:divsChild>
    </w:div>
    <w:div w:id="974414031">
      <w:bodyDiv w:val="1"/>
      <w:marLeft w:val="0"/>
      <w:marRight w:val="0"/>
      <w:marTop w:val="0"/>
      <w:marBottom w:val="0"/>
      <w:divBdr>
        <w:top w:val="none" w:sz="0" w:space="0" w:color="auto"/>
        <w:left w:val="none" w:sz="0" w:space="0" w:color="auto"/>
        <w:bottom w:val="none" w:sz="0" w:space="0" w:color="auto"/>
        <w:right w:val="none" w:sz="0" w:space="0" w:color="auto"/>
      </w:divBdr>
    </w:div>
    <w:div w:id="1348405591">
      <w:bodyDiv w:val="1"/>
      <w:marLeft w:val="0"/>
      <w:marRight w:val="0"/>
      <w:marTop w:val="0"/>
      <w:marBottom w:val="0"/>
      <w:divBdr>
        <w:top w:val="none" w:sz="0" w:space="0" w:color="auto"/>
        <w:left w:val="none" w:sz="0" w:space="0" w:color="auto"/>
        <w:bottom w:val="none" w:sz="0" w:space="0" w:color="auto"/>
        <w:right w:val="none" w:sz="0" w:space="0" w:color="auto"/>
      </w:divBdr>
      <w:divsChild>
        <w:div w:id="17464133">
          <w:marLeft w:val="0"/>
          <w:marRight w:val="0"/>
          <w:marTop w:val="0"/>
          <w:marBottom w:val="0"/>
          <w:divBdr>
            <w:top w:val="none" w:sz="0" w:space="0" w:color="auto"/>
            <w:left w:val="none" w:sz="0" w:space="0" w:color="auto"/>
            <w:bottom w:val="none" w:sz="0" w:space="0" w:color="auto"/>
            <w:right w:val="none" w:sz="0" w:space="0" w:color="auto"/>
          </w:divBdr>
        </w:div>
        <w:div w:id="1051272980">
          <w:marLeft w:val="0"/>
          <w:marRight w:val="0"/>
          <w:marTop w:val="0"/>
          <w:marBottom w:val="0"/>
          <w:divBdr>
            <w:top w:val="none" w:sz="0" w:space="0" w:color="auto"/>
            <w:left w:val="none" w:sz="0" w:space="0" w:color="auto"/>
            <w:bottom w:val="none" w:sz="0" w:space="0" w:color="auto"/>
            <w:right w:val="none" w:sz="0" w:space="0" w:color="auto"/>
          </w:divBdr>
        </w:div>
        <w:div w:id="1035732856">
          <w:marLeft w:val="0"/>
          <w:marRight w:val="0"/>
          <w:marTop w:val="0"/>
          <w:marBottom w:val="0"/>
          <w:divBdr>
            <w:top w:val="none" w:sz="0" w:space="0" w:color="auto"/>
            <w:left w:val="none" w:sz="0" w:space="0" w:color="auto"/>
            <w:bottom w:val="none" w:sz="0" w:space="0" w:color="auto"/>
            <w:right w:val="none" w:sz="0" w:space="0" w:color="auto"/>
          </w:divBdr>
        </w:div>
        <w:div w:id="149099373">
          <w:marLeft w:val="0"/>
          <w:marRight w:val="0"/>
          <w:marTop w:val="0"/>
          <w:marBottom w:val="0"/>
          <w:divBdr>
            <w:top w:val="none" w:sz="0" w:space="0" w:color="auto"/>
            <w:left w:val="none" w:sz="0" w:space="0" w:color="auto"/>
            <w:bottom w:val="none" w:sz="0" w:space="0" w:color="auto"/>
            <w:right w:val="none" w:sz="0" w:space="0" w:color="auto"/>
          </w:divBdr>
        </w:div>
      </w:divsChild>
    </w:div>
    <w:div w:id="1602956017">
      <w:bodyDiv w:val="1"/>
      <w:marLeft w:val="0"/>
      <w:marRight w:val="0"/>
      <w:marTop w:val="0"/>
      <w:marBottom w:val="0"/>
      <w:divBdr>
        <w:top w:val="none" w:sz="0" w:space="0" w:color="auto"/>
        <w:left w:val="none" w:sz="0" w:space="0" w:color="auto"/>
        <w:bottom w:val="none" w:sz="0" w:space="0" w:color="auto"/>
        <w:right w:val="none" w:sz="0" w:space="0" w:color="auto"/>
      </w:divBdr>
    </w:div>
    <w:div w:id="1693414700">
      <w:bodyDiv w:val="1"/>
      <w:marLeft w:val="0"/>
      <w:marRight w:val="0"/>
      <w:marTop w:val="0"/>
      <w:marBottom w:val="0"/>
      <w:divBdr>
        <w:top w:val="none" w:sz="0" w:space="0" w:color="auto"/>
        <w:left w:val="none" w:sz="0" w:space="0" w:color="auto"/>
        <w:bottom w:val="none" w:sz="0" w:space="0" w:color="auto"/>
        <w:right w:val="none" w:sz="0" w:space="0" w:color="auto"/>
      </w:divBdr>
      <w:divsChild>
        <w:div w:id="1078477610">
          <w:marLeft w:val="0"/>
          <w:marRight w:val="0"/>
          <w:marTop w:val="0"/>
          <w:marBottom w:val="0"/>
          <w:divBdr>
            <w:top w:val="none" w:sz="0" w:space="0" w:color="auto"/>
            <w:left w:val="none" w:sz="0" w:space="0" w:color="auto"/>
            <w:bottom w:val="none" w:sz="0" w:space="0" w:color="auto"/>
            <w:right w:val="none" w:sz="0" w:space="0" w:color="auto"/>
          </w:divBdr>
        </w:div>
        <w:div w:id="1062800146">
          <w:marLeft w:val="0"/>
          <w:marRight w:val="0"/>
          <w:marTop w:val="0"/>
          <w:marBottom w:val="0"/>
          <w:divBdr>
            <w:top w:val="none" w:sz="0" w:space="0" w:color="auto"/>
            <w:left w:val="none" w:sz="0" w:space="0" w:color="auto"/>
            <w:bottom w:val="none" w:sz="0" w:space="0" w:color="auto"/>
            <w:right w:val="none" w:sz="0" w:space="0" w:color="auto"/>
          </w:divBdr>
        </w:div>
        <w:div w:id="1000427175">
          <w:marLeft w:val="0"/>
          <w:marRight w:val="0"/>
          <w:marTop w:val="0"/>
          <w:marBottom w:val="0"/>
          <w:divBdr>
            <w:top w:val="none" w:sz="0" w:space="0" w:color="auto"/>
            <w:left w:val="none" w:sz="0" w:space="0" w:color="auto"/>
            <w:bottom w:val="none" w:sz="0" w:space="0" w:color="auto"/>
            <w:right w:val="none" w:sz="0" w:space="0" w:color="auto"/>
          </w:divBdr>
        </w:div>
        <w:div w:id="1068769103">
          <w:marLeft w:val="0"/>
          <w:marRight w:val="0"/>
          <w:marTop w:val="0"/>
          <w:marBottom w:val="0"/>
          <w:divBdr>
            <w:top w:val="none" w:sz="0" w:space="0" w:color="auto"/>
            <w:left w:val="none" w:sz="0" w:space="0" w:color="auto"/>
            <w:bottom w:val="none" w:sz="0" w:space="0" w:color="auto"/>
            <w:right w:val="none" w:sz="0" w:space="0" w:color="auto"/>
          </w:divBdr>
          <w:divsChild>
            <w:div w:id="10866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35952">
      <w:bodyDiv w:val="1"/>
      <w:marLeft w:val="0"/>
      <w:marRight w:val="0"/>
      <w:marTop w:val="0"/>
      <w:marBottom w:val="0"/>
      <w:divBdr>
        <w:top w:val="none" w:sz="0" w:space="0" w:color="auto"/>
        <w:left w:val="none" w:sz="0" w:space="0" w:color="auto"/>
        <w:bottom w:val="none" w:sz="0" w:space="0" w:color="auto"/>
        <w:right w:val="none" w:sz="0" w:space="0" w:color="auto"/>
      </w:divBdr>
    </w:div>
    <w:div w:id="1841113316">
      <w:bodyDiv w:val="1"/>
      <w:marLeft w:val="0"/>
      <w:marRight w:val="0"/>
      <w:marTop w:val="0"/>
      <w:marBottom w:val="0"/>
      <w:divBdr>
        <w:top w:val="none" w:sz="0" w:space="0" w:color="auto"/>
        <w:left w:val="none" w:sz="0" w:space="0" w:color="auto"/>
        <w:bottom w:val="none" w:sz="0" w:space="0" w:color="auto"/>
        <w:right w:val="none" w:sz="0" w:space="0" w:color="auto"/>
      </w:divBdr>
    </w:div>
    <w:div w:id="1967929975">
      <w:bodyDiv w:val="1"/>
      <w:marLeft w:val="0"/>
      <w:marRight w:val="0"/>
      <w:marTop w:val="0"/>
      <w:marBottom w:val="0"/>
      <w:divBdr>
        <w:top w:val="none" w:sz="0" w:space="0" w:color="auto"/>
        <w:left w:val="none" w:sz="0" w:space="0" w:color="auto"/>
        <w:bottom w:val="none" w:sz="0" w:space="0" w:color="auto"/>
        <w:right w:val="none" w:sz="0" w:space="0" w:color="auto"/>
      </w:divBdr>
    </w:div>
    <w:div w:id="2126535805">
      <w:bodyDiv w:val="1"/>
      <w:marLeft w:val="0"/>
      <w:marRight w:val="0"/>
      <w:marTop w:val="0"/>
      <w:marBottom w:val="0"/>
      <w:divBdr>
        <w:top w:val="none" w:sz="0" w:space="0" w:color="auto"/>
        <w:left w:val="none" w:sz="0" w:space="0" w:color="auto"/>
        <w:bottom w:val="none" w:sz="0" w:space="0" w:color="auto"/>
        <w:right w:val="none" w:sz="0" w:space="0" w:color="auto"/>
      </w:divBdr>
      <w:divsChild>
        <w:div w:id="1991981214">
          <w:marLeft w:val="0"/>
          <w:marRight w:val="0"/>
          <w:marTop w:val="0"/>
          <w:marBottom w:val="0"/>
          <w:divBdr>
            <w:top w:val="none" w:sz="0" w:space="0" w:color="auto"/>
            <w:left w:val="none" w:sz="0" w:space="0" w:color="auto"/>
            <w:bottom w:val="none" w:sz="0" w:space="0" w:color="auto"/>
            <w:right w:val="none" w:sz="0" w:space="0" w:color="auto"/>
          </w:divBdr>
        </w:div>
        <w:div w:id="628977611">
          <w:marLeft w:val="0"/>
          <w:marRight w:val="0"/>
          <w:marTop w:val="0"/>
          <w:marBottom w:val="0"/>
          <w:divBdr>
            <w:top w:val="none" w:sz="0" w:space="0" w:color="auto"/>
            <w:left w:val="none" w:sz="0" w:space="0" w:color="auto"/>
            <w:bottom w:val="none" w:sz="0" w:space="0" w:color="auto"/>
            <w:right w:val="none" w:sz="0" w:space="0" w:color="auto"/>
          </w:divBdr>
        </w:div>
        <w:div w:id="1998340717">
          <w:marLeft w:val="0"/>
          <w:marRight w:val="0"/>
          <w:marTop w:val="0"/>
          <w:marBottom w:val="0"/>
          <w:divBdr>
            <w:top w:val="none" w:sz="0" w:space="0" w:color="auto"/>
            <w:left w:val="none" w:sz="0" w:space="0" w:color="auto"/>
            <w:bottom w:val="none" w:sz="0" w:space="0" w:color="auto"/>
            <w:right w:val="none" w:sz="0" w:space="0" w:color="auto"/>
          </w:divBdr>
        </w:div>
        <w:div w:id="2030984769">
          <w:marLeft w:val="0"/>
          <w:marRight w:val="0"/>
          <w:marTop w:val="0"/>
          <w:marBottom w:val="0"/>
          <w:divBdr>
            <w:top w:val="none" w:sz="0" w:space="0" w:color="auto"/>
            <w:left w:val="none" w:sz="0" w:space="0" w:color="auto"/>
            <w:bottom w:val="none" w:sz="0" w:space="0" w:color="auto"/>
            <w:right w:val="none" w:sz="0" w:space="0" w:color="auto"/>
          </w:divBdr>
        </w:div>
      </w:divsChild>
    </w:div>
    <w:div w:id="2142838437">
      <w:bodyDiv w:val="1"/>
      <w:marLeft w:val="0"/>
      <w:marRight w:val="0"/>
      <w:marTop w:val="0"/>
      <w:marBottom w:val="0"/>
      <w:divBdr>
        <w:top w:val="none" w:sz="0" w:space="0" w:color="auto"/>
        <w:left w:val="none" w:sz="0" w:space="0" w:color="auto"/>
        <w:bottom w:val="none" w:sz="0" w:space="0" w:color="auto"/>
        <w:right w:val="none" w:sz="0" w:space="0" w:color="auto"/>
      </w:divBdr>
      <w:divsChild>
        <w:div w:id="1856185143">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Admin</cp:lastModifiedBy>
  <cp:revision>3</cp:revision>
  <dcterms:created xsi:type="dcterms:W3CDTF">2015-01-02T08:12:00Z</dcterms:created>
  <dcterms:modified xsi:type="dcterms:W3CDTF">2020-10-06T04:14:00Z</dcterms:modified>
</cp:coreProperties>
</file>