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A3B79" w:rsidRPr="008A3B79" w:rsidTr="008A3B7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bookmark1"/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ỦY BAN THƯỜNG VỤ 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QUỐC HỘI</w:t>
            </w:r>
            <w:bookmarkEnd w:id="0"/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Nghị quyết s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ố: 10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/2015/UBTVQH13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Hà Nội, ngày </w:t>
            </w:r>
            <w:r w:rsidRPr="008A3B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8A3B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 12 năm 2015</w:t>
            </w:r>
          </w:p>
        </w:tc>
      </w:tr>
    </w:tbl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</w:rPr>
        <w:t> 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NGHỊ QUYẾT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BAN HÀNH B</w:t>
      </w:r>
      <w:r w:rsidRPr="008A3B79">
        <w:rPr>
          <w:rFonts w:eastAsia="Times New Roman" w:cs="Times New Roman"/>
          <w:color w:val="000000"/>
          <w:sz w:val="24"/>
          <w:szCs w:val="24"/>
        </w:rPr>
        <w:t>IỂ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U MỨC THU</w:t>
      </w:r>
      <w:r w:rsidRPr="008A3B79">
        <w:rPr>
          <w:rFonts w:eastAsia="Times New Roman" w:cs="Times New Roman"/>
          <w:color w:val="000000"/>
          <w:sz w:val="24"/>
          <w:szCs w:val="24"/>
        </w:rPr>
        <w:t>Ế 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SUẤT THUẾ TÀI NGUYÊN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ỦY BAN THƯỜNG VỤ QUỐC HỘI 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NƯỚC CỘNG HÒA XÃ HỘI CHỦ NGHĨA VIỆT NAM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Căn cứ Hiến pháp nước Cộng hòa xã hội chủ nghĩa Việt Nam;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Căn cứ Luật tổ chức Quốc hội số 57/2014/QH13;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 xml:space="preserve">Căn cứ Luật thuế tài </w:t>
      </w:r>
      <w:r w:rsidRPr="008A3B79">
        <w:rPr>
          <w:rFonts w:eastAsia="Times New Roman" w:cs="Times New Roman"/>
          <w:i/>
          <w:iCs/>
          <w:color w:val="000000" w:themeColor="text1"/>
          <w:sz w:val="24"/>
          <w:szCs w:val="24"/>
        </w:rPr>
        <w:t>nguyên số 45/2009/QH12 đã được sửa đổi, bổ sung một số điều theo Luật số 71/2014/QH13;</w:t>
      </w:r>
    </w:p>
    <w:p w:rsidR="008A3B79" w:rsidRPr="008A3B79" w:rsidRDefault="008A3B79" w:rsidP="008A3B79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i/>
          <w:iCs/>
          <w:color w:val="000000" w:themeColor="text1"/>
          <w:sz w:val="24"/>
          <w:szCs w:val="24"/>
        </w:rPr>
        <w:t>Trên cơ sở xem xét Tờ trình 458/TTr-CP ngày 29/9/2015 của Chính phủ; Báo cáo thẩm tra sốTCNS13TCNS13 ngày 08/12/2015 của Ủy ban tài chính, ngân sách về Dự thảo Nghị quyết sửa đổi, bổ sung </w:t>
      </w:r>
      <w:r w:rsidRPr="008A3B79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 xml:space="preserve">Nghị quyết số 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712/2013/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U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BTVQH13 ngày 16/12/2013 của 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Ủ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y ban thư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ờn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g vụ Quốc hội về việc ban hành B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iể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u mức thuế suất thuế tài nguyên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,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b/>
          <w:bCs/>
          <w:color w:val="000000"/>
          <w:sz w:val="24"/>
          <w:szCs w:val="24"/>
        </w:rPr>
        <w:t>QUYẾT NGHỊ:</w:t>
      </w:r>
    </w:p>
    <w:p w:rsidR="008A3B79" w:rsidRPr="008A3B79" w:rsidRDefault="008A3B79" w:rsidP="008A3B79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bookmarkStart w:id="1" w:name="bookmark2"/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Điều 1</w:t>
      </w:r>
      <w:bookmarkEnd w:id="1"/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Ban hành kèm theo Nghị quyết này Biểu mức thuế suất thuế tài nguyên theo khung thuế suất thuế tài nguyên được quy định tại Điều 7 của Luật thuế tài nguyên s</w:t>
      </w:r>
      <w:r w:rsidRPr="008A3B79">
        <w:rPr>
          <w:rFonts w:eastAsia="Times New Roman" w:cs="Times New Roman"/>
          <w:color w:val="000000"/>
          <w:sz w:val="24"/>
          <w:szCs w:val="24"/>
        </w:rPr>
        <w:t>ố 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45/2009/QH12 đã được sửa đ</w:t>
      </w:r>
      <w:r w:rsidRPr="008A3B79">
        <w:rPr>
          <w:rFonts w:eastAsia="Times New Roman" w:cs="Times New Roman"/>
          <w:color w:val="000000"/>
          <w:sz w:val="24"/>
          <w:szCs w:val="24"/>
        </w:rPr>
        <w:t>ổ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i, bổ sung một số điều theo Luật số 71/2014/QH13.</w:t>
      </w:r>
    </w:p>
    <w:p w:rsidR="008A3B79" w:rsidRPr="008A3B79" w:rsidRDefault="008A3B79" w:rsidP="008A3B79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bookmarkStart w:id="2" w:name="bookmark3"/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Điều 2</w:t>
      </w:r>
      <w:bookmarkEnd w:id="2"/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lastRenderedPageBreak/>
        <w:t>Nghị quyết này có hiệu lực thi hành từ ngày 01 tháng 7 năm 2016.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N</w:t>
      </w:r>
      <w:r w:rsidRPr="008A3B79">
        <w:rPr>
          <w:rFonts w:eastAsia="Times New Roman" w:cs="Times New Roman"/>
          <w:color w:val="000000"/>
          <w:sz w:val="24"/>
          <w:szCs w:val="24"/>
        </w:rPr>
        <w:t>g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h</w:t>
      </w:r>
      <w:r w:rsidRPr="008A3B79">
        <w:rPr>
          <w:rFonts w:eastAsia="Times New Roman" w:cs="Times New Roman"/>
          <w:color w:val="000000"/>
          <w:sz w:val="24"/>
          <w:szCs w:val="24"/>
        </w:rPr>
        <w:t>ị 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quyết số 712/2013/UBTVQH13 ngày 16/12/2013 của </w:t>
      </w:r>
      <w:r w:rsidRPr="008A3B79">
        <w:rPr>
          <w:rFonts w:eastAsia="Times New Roman" w:cs="Times New Roman"/>
          <w:color w:val="000000"/>
          <w:sz w:val="24"/>
          <w:szCs w:val="24"/>
        </w:rPr>
        <w:t>Ủy b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an thường vụ Quốc hội về việc ban hành Biểu mức thuế suất thuế tài nguyên hết hiệu lực kể từ ngày Nghị quyết này có hiệu lực./.</w:t>
      </w:r>
    </w:p>
    <w:p w:rsidR="008A3B79" w:rsidRPr="008A3B79" w:rsidRDefault="008A3B79" w:rsidP="008A3B79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bookmarkStart w:id="3" w:name="bookmark4"/>
      <w:r w:rsidRPr="008A3B79">
        <w:rPr>
          <w:rFonts w:eastAsia="Times New Roman" w:cs="Times New Roman"/>
          <w:color w:val="000000"/>
          <w:sz w:val="24"/>
          <w:szCs w:val="24"/>
        </w:rPr>
        <w:t> 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004"/>
      </w:tblGrid>
      <w:tr w:rsidR="008A3B79" w:rsidRPr="008A3B79" w:rsidTr="008A3B79">
        <w:trPr>
          <w:tblCellSpacing w:w="0" w:type="dxa"/>
        </w:trPr>
        <w:tc>
          <w:tcPr>
            <w:tcW w:w="3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TM. ỦY BAN THƯỜNG 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QU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Ố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 HỘI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TỊCH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Nguyễn Sinh Hùng</w:t>
            </w:r>
          </w:p>
        </w:tc>
      </w:tr>
    </w:tbl>
    <w:p w:rsidR="008A3B79" w:rsidRPr="008A3B79" w:rsidRDefault="008A3B79" w:rsidP="008A3B79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bookmarkStart w:id="4" w:name="bookmark6"/>
      <w:r w:rsidRPr="008A3B79">
        <w:rPr>
          <w:rFonts w:eastAsia="Times New Roman" w:cs="Times New Roman"/>
          <w:color w:val="000000"/>
          <w:sz w:val="24"/>
          <w:szCs w:val="24"/>
        </w:rPr>
        <w:t> </w:t>
      </w:r>
      <w:bookmarkEnd w:id="4"/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BI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</w:rPr>
        <w:t>Ể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U MỨC THU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</w:rPr>
        <w:t>Ế 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SUẤT TH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</w:rPr>
        <w:t>UẾ</w:t>
      </w:r>
      <w:r w:rsidRPr="008A3B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 TÀI NGUYÊN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(Ban hành kèm theo Nghị quyết s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ố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1084/2015/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U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BTVQH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1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3 ngày 10 tháng 12 năm 2015 của 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</w:rPr>
        <w:t>Ủ</w:t>
      </w:r>
      <w:r w:rsidRPr="008A3B79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y ban thường vụ Quốc hội)</w:t>
      </w:r>
    </w:p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1. Biểu mức thuế suất đ</w:t>
      </w:r>
      <w:r w:rsidRPr="008A3B79">
        <w:rPr>
          <w:rFonts w:eastAsia="Times New Roman" w:cs="Times New Roman"/>
          <w:color w:val="000000"/>
          <w:sz w:val="24"/>
          <w:szCs w:val="24"/>
        </w:rPr>
        <w:t>ố</w:t>
      </w: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i với các loại tài nguyên, trừ dầu thô và khí thiên nhiên, khí than: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6475"/>
        <w:gridCol w:w="1454"/>
      </w:tblGrid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Nhóm, loại tài nguyên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Thuế suất (%)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Khoáng sản kim loại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Sắt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Măng-gan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Ti-tan (titan)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Vàng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Đất hiếm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Bạch kim, bạc, thiếc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Vôn-phờ-ram (wolfram), ăng-ti-moan (antimoan)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Chì, kẽm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Nhôm, Bô-xít (bouxite)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Đồng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Ni-ken (niken)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Cô-ban (coban), mô-lip-đen (molipden), thủy ngân, ma-nhê (magie), va-na-đi (vanadi)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Khoáng sản kim loại khác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Khoáng sản không k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 loại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Đất khai thác để san lấp, xây dựng công trình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Đá, sỏi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Đá nung vôi và sản xuất xi măng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Đá hoa trắng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Cát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Cát làm thủy tinh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Đất làm gạch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Gờ-ra-nít (granite)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9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Sét chịu lửa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Đô-lô-mít (dolomite), quắc-zít (quartzite)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Cao lanh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Mi-ca (mica), thạch anh kỹ thuật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Pi-rít (pirite), ph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ố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t-pho-rít (phosphorite)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A-pa-tít (apatit)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Séc-p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ă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ng-tin (secpentin)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Than an-tra-xít (antraxit) hầm lò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Than an-tra-xít (antraxit) lộ thiên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Than nâu, than m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ỡ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Than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Kim cương, ru-bi (rubi), sa-phia (sapphire)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27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E-mô-rốt (emerald), a-lếch-xan-đờ-rít (alexandrite), ô-pan (opan) quý màu đen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A-dít, rô-đô-lít (rodolite), py-rốp (pyrope), bê-rin (berin), sờ-pi-nen (spinen), tô-paz (topaz)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Thạch anh tinh thể màu tím xanh, vàng lục, da cam; cờ-ri-ô-lít (cryolite); ô-pan (opan) quý màu trắng, đỏ lửa; phen-sờ-phát (fenspat); birusa; nê-phờ-rít (ne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rite)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Khoáng sản không kim loại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Sản phẩm của rừng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Gỗ nhóm 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ỗ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nhóm II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ỗ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nhóm III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Gỗ nhóm IV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Gỗ nhóm V, VI, VII, VIII và các loại gỗ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Cành, ngọn, gốc, rễ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Củi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Tre, trúc, nứa, mai, giang, tranh, vầu, lồ ô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Trầm hương, kỳ nam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Hồi, quế, sa nhân, thảo quả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Sản phẩm khác của rừng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IV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Hải sản tự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Ngọc trai, bào ngư, hải sâm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Hải sản tự nhiên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Nước thiên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Nước khoáng thiên nhiên, nước nóng thiên nhiên, nước thiên nhiên tinh lọc đóng chai, đóng hộp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Nước thiên nhiên dùng cho sản xuất thủy điện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Nước thiên nhiên dùng cho sản xuất, kinh doanh, trừ nước quy định tại điểm 1 và điểm 2 Nhóm này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3.1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Sử dụng nước mặt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Dùng cho sản xuất nước sạch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Dùng cho mục đích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3.2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Sử dụng nước dưới đất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Dùng cho sản xuất nước sạch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Dùng cho mục đích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Yến sào thiên nhiên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VII</w:t>
            </w:r>
          </w:p>
        </w:tc>
        <w:tc>
          <w:tcPr>
            <w:tcW w:w="6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Tài nguyên khác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</w:tbl>
    <w:p w:rsidR="008A3B79" w:rsidRPr="008A3B79" w:rsidRDefault="008A3B79" w:rsidP="008A3B79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8A3B79">
        <w:rPr>
          <w:rFonts w:eastAsia="Times New Roman" w:cs="Times New Roman"/>
          <w:color w:val="000000"/>
          <w:sz w:val="24"/>
          <w:szCs w:val="24"/>
          <w:lang w:val="vi-VN"/>
        </w:rPr>
        <w:t>2. Biểu mức thuế suất đối với dầu thô và khí thiên nhiên, khí than: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085"/>
        <w:gridCol w:w="1743"/>
        <w:gridCol w:w="1088"/>
      </w:tblGrid>
      <w:tr w:rsidR="008A3B79" w:rsidRPr="008A3B79" w:rsidTr="008A3B79">
        <w:trPr>
          <w:tblCellSpacing w:w="0" w:type="dxa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Sản lượng khai thác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Thuế suất (%)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ự </w:t>
            </w: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án khuyến khích đầu tư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Dự án khác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Đối với dầu thô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Đến 20.000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20.000 thùng đến 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50.000 thùng đến 75.000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75.000 thùng đến 100.000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100.000 thùng đến 150.000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150.000 thùng/ngày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29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Đối với khí thiên nhiên, khí than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Đến 5 triệu m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5 triệu m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đến 10 triệu m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</w:tr>
      <w:tr w:rsidR="008A3B79" w:rsidRPr="008A3B79" w:rsidTr="008A3B79">
        <w:trPr>
          <w:tblCellSpacing w:w="0" w:type="dxa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Trên 10 triệu m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3</w:t>
            </w: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/ngày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B79" w:rsidRPr="008A3B79" w:rsidRDefault="008A3B79" w:rsidP="008A3B79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3B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</w:tbl>
    <w:p w:rsidR="00450888" w:rsidRPr="008A3B79" w:rsidRDefault="00450888" w:rsidP="008A3B79">
      <w:pPr>
        <w:spacing w:line="360" w:lineRule="auto"/>
        <w:rPr>
          <w:rFonts w:cs="Times New Roman"/>
          <w:sz w:val="24"/>
          <w:szCs w:val="24"/>
        </w:rPr>
      </w:pPr>
    </w:p>
    <w:sectPr w:rsidR="00450888" w:rsidRPr="008A3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A0" w:rsidRDefault="00AD41A0" w:rsidP="008A3B79">
      <w:pPr>
        <w:spacing w:after="0" w:line="240" w:lineRule="auto"/>
      </w:pPr>
      <w:r>
        <w:separator/>
      </w:r>
    </w:p>
  </w:endnote>
  <w:endnote w:type="continuationSeparator" w:id="0">
    <w:p w:rsidR="00AD41A0" w:rsidRDefault="00AD41A0" w:rsidP="008A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E1" w:rsidRDefault="001C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79" w:rsidRPr="00A67571" w:rsidRDefault="008A3B79" w:rsidP="008A3B79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8A3B79" w:rsidRDefault="008A3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E1" w:rsidRDefault="001C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A0" w:rsidRDefault="00AD41A0" w:rsidP="008A3B79">
      <w:pPr>
        <w:spacing w:after="0" w:line="240" w:lineRule="auto"/>
      </w:pPr>
      <w:r>
        <w:separator/>
      </w:r>
    </w:p>
  </w:footnote>
  <w:footnote w:type="continuationSeparator" w:id="0">
    <w:p w:rsidR="00AD41A0" w:rsidRDefault="00AD41A0" w:rsidP="008A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E1" w:rsidRDefault="001C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8A3B79" w:rsidRPr="00A67571" w:rsidTr="00335829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A3B79" w:rsidRPr="00A67571" w:rsidRDefault="008A3B79" w:rsidP="00335829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C22E1" w:rsidRDefault="001C22E1" w:rsidP="001C22E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1C22E1" w:rsidRDefault="001C22E1" w:rsidP="001C22E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89 Tô Vĩnh Diện, phường Khương Trung, quận Thanh Xuân, thành phố Hà Nội</w:t>
          </w:r>
        </w:p>
        <w:p w:rsidR="001C22E1" w:rsidRDefault="001C22E1" w:rsidP="001C22E1">
          <w:pPr>
            <w:rPr>
              <w:rFonts w:ascii="Calibri" w:hAnsi="Calibri"/>
              <w:sz w:val="20"/>
              <w:szCs w:val="24"/>
            </w:rPr>
          </w:pPr>
          <w:r>
            <w:rPr>
              <w:sz w:val="20"/>
            </w:rPr>
            <w:t>Tel:   1900.6568                             Fax: 024.73.000.111</w:t>
          </w:r>
        </w:p>
        <w:p w:rsidR="008A3B79" w:rsidRPr="00A67571" w:rsidRDefault="001C22E1" w:rsidP="001C22E1">
          <w:pPr>
            <w:rPr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5" w:name="_GoBack"/>
          <w:bookmarkEnd w:id="5"/>
        </w:p>
      </w:tc>
    </w:tr>
  </w:tbl>
  <w:p w:rsidR="008A3B79" w:rsidRDefault="008A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E1" w:rsidRDefault="001C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9"/>
    <w:rsid w:val="001C22E1"/>
    <w:rsid w:val="00450888"/>
    <w:rsid w:val="008A3B79"/>
    <w:rsid w:val="00AD41A0"/>
    <w:rsid w:val="00B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BEFD-B165-471C-8200-F28CAD39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8A3B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B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B79"/>
  </w:style>
  <w:style w:type="character" w:styleId="Hyperlink">
    <w:name w:val="Hyperlink"/>
    <w:basedOn w:val="DefaultParagraphFont"/>
    <w:uiPriority w:val="99"/>
    <w:semiHidden/>
    <w:unhideWhenUsed/>
    <w:rsid w:val="008A3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79"/>
  </w:style>
  <w:style w:type="paragraph" w:styleId="Footer">
    <w:name w:val="footer"/>
    <w:basedOn w:val="Normal"/>
    <w:link w:val="FooterChar"/>
    <w:uiPriority w:val="99"/>
    <w:unhideWhenUsed/>
    <w:rsid w:val="008A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79"/>
  </w:style>
  <w:style w:type="character" w:customStyle="1" w:styleId="Heading6Char">
    <w:name w:val="Heading 6 Char"/>
    <w:basedOn w:val="DefaultParagraphFont"/>
    <w:link w:val="Heading6"/>
    <w:semiHidden/>
    <w:rsid w:val="008A3B79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2016-01-25T11:24:00Z</dcterms:created>
  <dcterms:modified xsi:type="dcterms:W3CDTF">2020-10-22T07:46:00Z</dcterms:modified>
</cp:coreProperties>
</file>