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2966"/>
        <w:gridCol w:w="6248"/>
      </w:tblGrid>
      <w:tr w:rsidR="00B557A5" w:rsidRPr="00B557A5" w:rsidTr="00B557A5">
        <w:trPr>
          <w:tblCellSpacing w:w="0" w:type="dxa"/>
        </w:trPr>
        <w:tc>
          <w:tcPr>
            <w:tcW w:w="2966" w:type="dxa"/>
            <w:shd w:val="clear" w:color="auto" w:fill="FFFFFF"/>
            <w:tcMar>
              <w:top w:w="0" w:type="dxa"/>
              <w:left w:w="108" w:type="dxa"/>
              <w:bottom w:w="0" w:type="dxa"/>
              <w:right w:w="108" w:type="dxa"/>
            </w:tcMar>
            <w:hideMark/>
          </w:tcPr>
          <w:p w:rsidR="00B557A5" w:rsidRPr="00B557A5" w:rsidRDefault="00B557A5" w:rsidP="00B557A5">
            <w:pPr>
              <w:spacing w:after="120" w:line="234" w:lineRule="atLeast"/>
              <w:jc w:val="center"/>
              <w:rPr>
                <w:rFonts w:ascii="Times New Roman" w:eastAsia="Times New Roman" w:hAnsi="Times New Roman" w:cs="Times New Roman"/>
                <w:sz w:val="28"/>
                <w:szCs w:val="28"/>
              </w:rPr>
            </w:pPr>
            <w:r w:rsidRPr="00B557A5">
              <w:rPr>
                <w:rFonts w:ascii="Times New Roman" w:eastAsia="Times New Roman" w:hAnsi="Times New Roman" w:cs="Times New Roman"/>
                <w:b/>
                <w:bCs/>
                <w:sz w:val="28"/>
                <w:szCs w:val="28"/>
              </w:rPr>
              <w:t>BỘ TÀI CHÍNH</w:t>
            </w:r>
            <w:r w:rsidRPr="00B557A5">
              <w:rPr>
                <w:rFonts w:ascii="Times New Roman" w:eastAsia="Times New Roman" w:hAnsi="Times New Roman" w:cs="Times New Roman"/>
                <w:b/>
                <w:bCs/>
                <w:sz w:val="28"/>
                <w:szCs w:val="28"/>
              </w:rPr>
              <w:br/>
              <w:t>--------</w:t>
            </w:r>
          </w:p>
        </w:tc>
        <w:tc>
          <w:tcPr>
            <w:tcW w:w="6248" w:type="dxa"/>
            <w:shd w:val="clear" w:color="auto" w:fill="FFFFFF"/>
            <w:tcMar>
              <w:top w:w="0" w:type="dxa"/>
              <w:left w:w="108" w:type="dxa"/>
              <w:bottom w:w="0" w:type="dxa"/>
              <w:right w:w="108" w:type="dxa"/>
            </w:tcMar>
            <w:hideMark/>
          </w:tcPr>
          <w:p w:rsidR="00B557A5" w:rsidRPr="00B557A5" w:rsidRDefault="00B557A5" w:rsidP="00B557A5">
            <w:pPr>
              <w:spacing w:after="120" w:line="234" w:lineRule="atLeast"/>
              <w:jc w:val="center"/>
              <w:rPr>
                <w:rFonts w:ascii="Times New Roman" w:eastAsia="Times New Roman" w:hAnsi="Times New Roman" w:cs="Times New Roman"/>
                <w:sz w:val="28"/>
                <w:szCs w:val="28"/>
              </w:rPr>
            </w:pPr>
            <w:r w:rsidRPr="00B557A5">
              <w:rPr>
                <w:rFonts w:ascii="Times New Roman" w:eastAsia="Times New Roman" w:hAnsi="Times New Roman" w:cs="Times New Roman"/>
                <w:b/>
                <w:bCs/>
                <w:sz w:val="28"/>
                <w:szCs w:val="28"/>
              </w:rPr>
              <w:t>CỘNG HÒA XÃ HỘI CHỦ NGHĨA VIỆT NAM</w:t>
            </w:r>
            <w:r w:rsidRPr="00B557A5">
              <w:rPr>
                <w:rFonts w:ascii="Times New Roman" w:eastAsia="Times New Roman" w:hAnsi="Times New Roman" w:cs="Times New Roman"/>
                <w:b/>
                <w:bCs/>
                <w:sz w:val="28"/>
                <w:szCs w:val="28"/>
              </w:rPr>
              <w:br/>
              <w:t>Độc lập - Tự do - Hạnh phúc </w:t>
            </w:r>
            <w:r w:rsidRPr="00B557A5">
              <w:rPr>
                <w:rFonts w:ascii="Times New Roman" w:eastAsia="Times New Roman" w:hAnsi="Times New Roman" w:cs="Times New Roman"/>
                <w:b/>
                <w:bCs/>
                <w:sz w:val="28"/>
                <w:szCs w:val="28"/>
              </w:rPr>
              <w:br/>
              <w:t>---------------</w:t>
            </w:r>
          </w:p>
        </w:tc>
      </w:tr>
      <w:tr w:rsidR="00B557A5" w:rsidRPr="00B557A5" w:rsidTr="00B557A5">
        <w:trPr>
          <w:tblCellSpacing w:w="0" w:type="dxa"/>
        </w:trPr>
        <w:tc>
          <w:tcPr>
            <w:tcW w:w="2966" w:type="dxa"/>
            <w:shd w:val="clear" w:color="auto" w:fill="FFFFFF"/>
            <w:tcMar>
              <w:top w:w="0" w:type="dxa"/>
              <w:left w:w="108" w:type="dxa"/>
              <w:bottom w:w="0" w:type="dxa"/>
              <w:right w:w="108" w:type="dxa"/>
            </w:tcMar>
            <w:hideMark/>
          </w:tcPr>
          <w:p w:rsidR="00B557A5" w:rsidRPr="00B557A5" w:rsidRDefault="00B557A5" w:rsidP="00B557A5">
            <w:pPr>
              <w:spacing w:after="120" w:line="234" w:lineRule="atLeast"/>
              <w:jc w:val="center"/>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Số: 11/2014/TT-BTC</w:t>
            </w:r>
          </w:p>
        </w:tc>
        <w:tc>
          <w:tcPr>
            <w:tcW w:w="6248" w:type="dxa"/>
            <w:shd w:val="clear" w:color="auto" w:fill="FFFFFF"/>
            <w:tcMar>
              <w:top w:w="0" w:type="dxa"/>
              <w:left w:w="108" w:type="dxa"/>
              <w:bottom w:w="0" w:type="dxa"/>
              <w:right w:w="108" w:type="dxa"/>
            </w:tcMar>
            <w:hideMark/>
          </w:tcPr>
          <w:p w:rsidR="00B557A5" w:rsidRPr="00B557A5" w:rsidRDefault="00B557A5" w:rsidP="00B557A5">
            <w:pPr>
              <w:spacing w:after="120" w:line="234" w:lineRule="atLeast"/>
              <w:jc w:val="right"/>
              <w:rPr>
                <w:rFonts w:ascii="Times New Roman" w:eastAsia="Times New Roman" w:hAnsi="Times New Roman" w:cs="Times New Roman"/>
                <w:sz w:val="28"/>
                <w:szCs w:val="28"/>
              </w:rPr>
            </w:pPr>
            <w:r w:rsidRPr="00B557A5">
              <w:rPr>
                <w:rFonts w:ascii="Times New Roman" w:eastAsia="Times New Roman" w:hAnsi="Times New Roman" w:cs="Times New Roman"/>
                <w:i/>
                <w:iCs/>
                <w:sz w:val="28"/>
                <w:szCs w:val="28"/>
              </w:rPr>
              <w:t>Hà Nội, ngày 17 tháng 01 năm 2014</w:t>
            </w:r>
          </w:p>
        </w:tc>
      </w:tr>
    </w:tbl>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w:t>
      </w:r>
    </w:p>
    <w:p w:rsidR="00B557A5" w:rsidRPr="00B557A5" w:rsidRDefault="00B557A5" w:rsidP="00B557A5">
      <w:pPr>
        <w:shd w:val="clear" w:color="auto" w:fill="FFFFFF"/>
        <w:spacing w:after="0" w:line="234" w:lineRule="atLeast"/>
        <w:jc w:val="center"/>
        <w:rPr>
          <w:rFonts w:ascii="Times New Roman" w:eastAsia="Times New Roman" w:hAnsi="Times New Roman" w:cs="Times New Roman"/>
          <w:sz w:val="28"/>
          <w:szCs w:val="28"/>
        </w:rPr>
      </w:pPr>
      <w:bookmarkStart w:id="0" w:name="loai_1"/>
      <w:bookmarkStart w:id="1" w:name="_GoBack"/>
      <w:r w:rsidRPr="00B557A5">
        <w:rPr>
          <w:rFonts w:ascii="Times New Roman" w:eastAsia="Times New Roman" w:hAnsi="Times New Roman" w:cs="Times New Roman"/>
          <w:b/>
          <w:bCs/>
          <w:sz w:val="28"/>
          <w:szCs w:val="28"/>
        </w:rPr>
        <w:t>THÔNG TƯ</w:t>
      </w:r>
      <w:bookmarkEnd w:id="0"/>
    </w:p>
    <w:p w:rsidR="00B557A5" w:rsidRPr="00B557A5" w:rsidRDefault="00B557A5" w:rsidP="00B557A5">
      <w:pPr>
        <w:shd w:val="clear" w:color="auto" w:fill="FFFFFF"/>
        <w:spacing w:after="0" w:line="234" w:lineRule="atLeast"/>
        <w:jc w:val="center"/>
        <w:rPr>
          <w:rFonts w:ascii="Times New Roman" w:eastAsia="Times New Roman" w:hAnsi="Times New Roman" w:cs="Times New Roman"/>
          <w:sz w:val="28"/>
          <w:szCs w:val="28"/>
        </w:rPr>
      </w:pPr>
      <w:bookmarkStart w:id="2" w:name="loai_1_name"/>
      <w:r w:rsidRPr="00B557A5">
        <w:rPr>
          <w:rFonts w:ascii="Times New Roman" w:eastAsia="Times New Roman" w:hAnsi="Times New Roman" w:cs="Times New Roman"/>
          <w:sz w:val="28"/>
          <w:szCs w:val="28"/>
        </w:rPr>
        <w:t>HƯỚNG DẪN MỘT SỐ ĐIỀU QUY ĐỊNH TẠI NGHỊ ĐỊNH SỐ </w:t>
      </w:r>
      <w:bookmarkEnd w:id="2"/>
      <w:r w:rsidRPr="00B557A5">
        <w:rPr>
          <w:rFonts w:ascii="Times New Roman" w:eastAsia="Times New Roman" w:hAnsi="Times New Roman" w:cs="Times New Roman"/>
          <w:sz w:val="28"/>
          <w:szCs w:val="28"/>
        </w:rPr>
        <w:t>86/2013/NĐ-CP NGÀY 29 THÁNG 7 NĂM 2013 CỦA CHÍNH PHỦ VỀ KINH DOANH TRÒ CHƠI ĐIỆN TỬ CÓ THƯỞNG DÀNH CHO NGƯỜI NƯỚC NGOÀI</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i/>
          <w:iCs/>
          <w:sz w:val="28"/>
          <w:szCs w:val="28"/>
        </w:rPr>
        <w:t>Căn cứ Nghị định số 86/2013/NĐ-CP ngày 29 tháng 7 năm 2013 của Chính phủ về kinh doanh trò chơi điện tử có thưởng dành cho người nước ngoài;</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i/>
          <w:iCs/>
          <w:sz w:val="28"/>
          <w:szCs w:val="28"/>
        </w:rPr>
        <w:t>Căn cứ Nghị định số 215/2013/NĐ-CP ngày 23 tháng 12 năm 2013 của Chính phủ quy định chức năng, nhiệm vụ, quyền hạn và cơ cấu tổ chức của Bộ Tài chính;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i/>
          <w:iCs/>
          <w:sz w:val="28"/>
          <w:szCs w:val="28"/>
        </w:rPr>
        <w:t>Theo đề nghị của Vụ trưởng Vụ Tài chính các ngân hàng và tổ chức tài chính;</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i/>
          <w:iCs/>
          <w:sz w:val="28"/>
          <w:szCs w:val="28"/>
        </w:rPr>
        <w:t>Bộ trưởng Bộ Tài chính ban hành Thông tư hướng dẫn một số điều quy định tại Nghị định số 86/2013/NĐ-CP ngày 29 tháng 7 năm 2013 của Chính phủ về kinh doanh trò chơi điện tử có thưởng dành cho người nước ngoài.</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3" w:name="chuong_1"/>
      <w:bookmarkEnd w:id="1"/>
      <w:r w:rsidRPr="00B557A5">
        <w:rPr>
          <w:rFonts w:ascii="Times New Roman" w:eastAsia="Times New Roman" w:hAnsi="Times New Roman" w:cs="Times New Roman"/>
          <w:b/>
          <w:bCs/>
          <w:sz w:val="28"/>
          <w:szCs w:val="28"/>
        </w:rPr>
        <w:t>Chương I</w:t>
      </w:r>
      <w:bookmarkEnd w:id="3"/>
    </w:p>
    <w:p w:rsidR="00B557A5" w:rsidRPr="00B557A5" w:rsidRDefault="00B557A5" w:rsidP="00B557A5">
      <w:pPr>
        <w:shd w:val="clear" w:color="auto" w:fill="FFFFFF"/>
        <w:spacing w:after="0" w:line="234" w:lineRule="atLeast"/>
        <w:jc w:val="center"/>
        <w:rPr>
          <w:rFonts w:ascii="Times New Roman" w:eastAsia="Times New Roman" w:hAnsi="Times New Roman" w:cs="Times New Roman"/>
          <w:sz w:val="28"/>
          <w:szCs w:val="28"/>
        </w:rPr>
      </w:pPr>
      <w:bookmarkStart w:id="4" w:name="chuong_1_name"/>
      <w:r w:rsidRPr="00B557A5">
        <w:rPr>
          <w:rFonts w:ascii="Times New Roman" w:eastAsia="Times New Roman" w:hAnsi="Times New Roman" w:cs="Times New Roman"/>
          <w:b/>
          <w:bCs/>
          <w:sz w:val="28"/>
          <w:szCs w:val="28"/>
        </w:rPr>
        <w:t>QUY ĐỊNH CHUNG</w:t>
      </w:r>
      <w:bookmarkEnd w:id="4"/>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5" w:name="dieu_1"/>
      <w:r w:rsidRPr="00B557A5">
        <w:rPr>
          <w:rFonts w:ascii="Times New Roman" w:eastAsia="Times New Roman" w:hAnsi="Times New Roman" w:cs="Times New Roman"/>
          <w:b/>
          <w:bCs/>
          <w:sz w:val="28"/>
          <w:szCs w:val="28"/>
        </w:rPr>
        <w:t>Điều 1. Phạm vi điều chỉnh</w:t>
      </w:r>
      <w:bookmarkEnd w:id="5"/>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Thông tư này hướng dẫn một số điều quy định tại Nghị định số 86/2013/NĐ-CP ngày 29/7/2013 của Chính phủ về kinh doanh trò chơi điện tử có thưởng dành cho người nước ngoài (sau đây gọi tắt là Nghị định số 86/2013/NĐ-CP).</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 w:name="dieu_2"/>
      <w:r w:rsidRPr="00B557A5">
        <w:rPr>
          <w:rFonts w:ascii="Times New Roman" w:eastAsia="Times New Roman" w:hAnsi="Times New Roman" w:cs="Times New Roman"/>
          <w:b/>
          <w:bCs/>
          <w:sz w:val="28"/>
          <w:szCs w:val="28"/>
        </w:rPr>
        <w:t>Điều 2. Đối tượng áp dụng</w:t>
      </w:r>
      <w:bookmarkEnd w:id="6"/>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Doanh nghiệp kinh doanh trò chơi điện tử có thưởng dành cho người nước ngoài.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Đối tượng được phép chơi và đối tượng được phép ra, vào các Điểm kinh doanh trò chơi điện tử có thưởng dành cho người nước ngoài theo quy định của pháp luật.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Doanh nghiệp sản xuất, cung cấp máy, thiết bị của máy trò chơi điện tử có thưởng và tổ chức kiểm định độc lập máy trò chơi điện tử có thưởng khi cung cấp máy, thiết bị của máy trò chơi điện tử có thưởng và dịch vụ kiểm định máy trò chơi điện tử có thưởng theo quy định tại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Cơ quan quản lý nhà nước có chức năng liên quan đến việc cấp phép, quản lý, giám sát, kiểm tra, thanh tra và xử phạt vi phạm hành chính trong hoạt động kinh doanh trò chơi điện tử có thưởng dành cho người nước ngoài.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5. Các tổ chức, cá nhân khác có liên quan đến hoạt động kinh doanh trò chơi điện tử có thưởng dành cho người nước ngoài.</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7" w:name="chuong_2"/>
      <w:r w:rsidRPr="00B557A5">
        <w:rPr>
          <w:rFonts w:ascii="Times New Roman" w:eastAsia="Times New Roman" w:hAnsi="Times New Roman" w:cs="Times New Roman"/>
          <w:b/>
          <w:bCs/>
          <w:sz w:val="28"/>
          <w:szCs w:val="28"/>
        </w:rPr>
        <w:lastRenderedPageBreak/>
        <w:t>Chương II</w:t>
      </w:r>
      <w:bookmarkEnd w:id="7"/>
    </w:p>
    <w:p w:rsidR="00B557A5" w:rsidRPr="00B557A5" w:rsidRDefault="00B557A5" w:rsidP="00B557A5">
      <w:pPr>
        <w:shd w:val="clear" w:color="auto" w:fill="FFFFFF"/>
        <w:spacing w:after="0" w:line="234" w:lineRule="atLeast"/>
        <w:jc w:val="center"/>
        <w:rPr>
          <w:rFonts w:ascii="Times New Roman" w:eastAsia="Times New Roman" w:hAnsi="Times New Roman" w:cs="Times New Roman"/>
          <w:sz w:val="28"/>
          <w:szCs w:val="28"/>
        </w:rPr>
      </w:pPr>
      <w:bookmarkStart w:id="8" w:name="chuong_2_name"/>
      <w:r w:rsidRPr="00B557A5">
        <w:rPr>
          <w:rFonts w:ascii="Times New Roman" w:eastAsia="Times New Roman" w:hAnsi="Times New Roman" w:cs="Times New Roman"/>
          <w:b/>
          <w:bCs/>
          <w:sz w:val="28"/>
          <w:szCs w:val="28"/>
        </w:rPr>
        <w:t>TỔ CHỨC HOẠT ĐỘNG KINH DOANH TRÒ CHƠI ĐIỆN TỬ CÓ THƯỞNG</w:t>
      </w:r>
      <w:bookmarkEnd w:id="8"/>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9" w:name="dieu_3"/>
      <w:r w:rsidRPr="00B557A5">
        <w:rPr>
          <w:rFonts w:ascii="Times New Roman" w:eastAsia="Times New Roman" w:hAnsi="Times New Roman" w:cs="Times New Roman"/>
          <w:b/>
          <w:bCs/>
          <w:sz w:val="28"/>
          <w:szCs w:val="28"/>
        </w:rPr>
        <w:t>Điều 3. Điểm kinh doanh</w:t>
      </w:r>
      <w:bookmarkEnd w:id="9"/>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Doanh nghiệp kinh doanh trò chơi điện tử có thưởng dành cho người nước ngoài (sau đây gọi tắt là doanh nghiệp) có trách nhiệm bố trí Điểm kinh doanh trò chơi điện tử có thưởng theo đúng quy định tại </w:t>
      </w:r>
      <w:bookmarkStart w:id="10" w:name="dc_29"/>
      <w:r w:rsidRPr="00B557A5">
        <w:rPr>
          <w:rFonts w:ascii="Times New Roman" w:eastAsia="Times New Roman" w:hAnsi="Times New Roman" w:cs="Times New Roman"/>
          <w:sz w:val="28"/>
          <w:szCs w:val="28"/>
        </w:rPr>
        <w:t>Điều 5 Nghị định số 86/2013/NĐ-CP</w:t>
      </w:r>
      <w:bookmarkEnd w:id="10"/>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Doanh nghiệp phải bố trí các thiết bị điện tử và hệ thống camera để theo dõi, giám sát thường xuyên toàn bộ hoạt động trong Điểm kinh doanh (24/24h), trong đó phải đảm bảo theo dõi được các vị trí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Cửa ra, vào Điểm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Khu vực bố trí các máy trò chơi điện tử có thưởng để đảm bảo theo dõi được hoạt động của người chơi tại từng máy trò chơi điện tử có thưởng;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Khu vực thu ngân, kho quỹ kiểm đếm tiền mặt, đồng tiền quy ước và lưu giữ thiết bị đựng tiền mặt, đồng tiền quy ước.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Hình ảnh tại các vị trí quy định tại Khoản 2 Điều này phải được lưu trữ đầy đủ trong thời hạn tối thiểu là ba mươi (30) ngày kể từ ngày ghi hình. Trong trường hợp cần thiết, thời gian lưu trữ có thể kéo dài hơn theo yêu cầu của cơ quan quản lý nhà nước có thẩm quyền.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Doanh nghiệp phải xây dựng quy chế giám sát, theo dõi an ninh đối với Điểm kinh doanh, trong đó quy định rõ khu vực giám sát, theo dõi an ninh, khu vực lưu trữ hồ sơ, hình ảnh, những đối tượng được phép ra, vào khu vực giám sát, theo dõi an ninh.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5. Doanh nghiệp có trách nhiệm cung cấp quy chế, tài liệu, hồ sơ, hình ảnh cho cơ quan quản lý nhà nước có thẩm quyền trong quá trình thực hiện công tác quản lý, giám sát, kiểm tra, thanh tra.</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11" w:name="dieu_4"/>
      <w:r w:rsidRPr="00B557A5">
        <w:rPr>
          <w:rFonts w:ascii="Times New Roman" w:eastAsia="Times New Roman" w:hAnsi="Times New Roman" w:cs="Times New Roman"/>
          <w:b/>
          <w:bCs/>
          <w:sz w:val="28"/>
          <w:szCs w:val="28"/>
        </w:rPr>
        <w:t>Điều 4. Sổ theo dõi đối tượng ra, vào Điểm kinh doanh</w:t>
      </w:r>
      <w:bookmarkEnd w:id="11"/>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Doanh nghiệp phải mở Sổ theo dõi để kiểm soát các đối tượng được phép chơi, đối tượng được phép ra, vào Điểm kinh doanh theo quy định tại </w:t>
      </w:r>
      <w:bookmarkStart w:id="12" w:name="dc_31"/>
      <w:r w:rsidRPr="00B557A5">
        <w:rPr>
          <w:rFonts w:ascii="Times New Roman" w:eastAsia="Times New Roman" w:hAnsi="Times New Roman" w:cs="Times New Roman"/>
          <w:sz w:val="28"/>
          <w:szCs w:val="28"/>
        </w:rPr>
        <w:t>Điều 9 và Điều 11 Nghị định số 86/2013/NĐ-CP</w:t>
      </w:r>
      <w:bookmarkEnd w:id="12"/>
      <w:r w:rsidRPr="00B557A5">
        <w:rPr>
          <w:rFonts w:ascii="Times New Roman" w:eastAsia="Times New Roman" w:hAnsi="Times New Roman" w:cs="Times New Roman"/>
          <w:sz w:val="28"/>
          <w:szCs w:val="28"/>
        </w:rPr>
        <w:t>. Sổ theo dõi được lập theo hình thức ghi sổ hoặc thông tin điện tử. Sổ theo dõi phải được lưu trữ trong thời hạn tối thiểu là hai (02) năm để phục vụ công tác quản lý, giám sát, kiểm tra, thanh tra của các cơ quan quản lý nhà nước có thẩm quyền.</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Sổ theo dõi để kiểm soát các đối tượng được phép chơi tại Điểm kinh doanh theo quy định tại </w:t>
      </w:r>
      <w:bookmarkStart w:id="13" w:name="dc_30"/>
      <w:r w:rsidRPr="00B557A5">
        <w:rPr>
          <w:rFonts w:ascii="Times New Roman" w:eastAsia="Times New Roman" w:hAnsi="Times New Roman" w:cs="Times New Roman"/>
          <w:sz w:val="28"/>
          <w:szCs w:val="28"/>
        </w:rPr>
        <w:t>Điều 9 Nghị định số 86/2013/NĐ-CP</w:t>
      </w:r>
      <w:bookmarkEnd w:id="13"/>
      <w:r w:rsidRPr="00B557A5">
        <w:rPr>
          <w:rFonts w:ascii="Times New Roman" w:eastAsia="Times New Roman" w:hAnsi="Times New Roman" w:cs="Times New Roman"/>
          <w:sz w:val="28"/>
          <w:szCs w:val="28"/>
        </w:rPr>
        <w:t> phải bao gồm các nội dung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Mã số thẻ điện tử (nếu có);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b) Họ và tên;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Số hộ chiếu hoặc giấy thông hành còn giá trị;</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Quốc tịch;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đ) Ảnh nhận diện (nếu được cấp thẻ điện tử);</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e) Thời gian ra, vào Điểm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g) Các thông tin khác có liên quan đến việc kiểm soát người chơi theo yêu cầu quản lý của doanh nghiệp.</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Sổ theo dõi để kiểm soát các đối tượng được phép ra, vào Điểm kinh doanh theo quy định tại </w:t>
      </w:r>
      <w:bookmarkStart w:id="14" w:name="dc_32"/>
      <w:r w:rsidRPr="00B557A5">
        <w:rPr>
          <w:rFonts w:ascii="Times New Roman" w:eastAsia="Times New Roman" w:hAnsi="Times New Roman" w:cs="Times New Roman"/>
          <w:sz w:val="28"/>
          <w:szCs w:val="28"/>
        </w:rPr>
        <w:t>Khoản 2 và Khoản 3 Điều 11 Nghị định số 86/2013/NĐ-CP</w:t>
      </w:r>
      <w:bookmarkEnd w:id="14"/>
      <w:r w:rsidRPr="00B557A5">
        <w:rPr>
          <w:rFonts w:ascii="Times New Roman" w:eastAsia="Times New Roman" w:hAnsi="Times New Roman" w:cs="Times New Roman"/>
          <w:sz w:val="28"/>
          <w:szCs w:val="28"/>
        </w:rPr>
        <w:t> phải bao gồm các nội dung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Các thông tin quy định tại điểm a, b, đ và e Khoản 2 Điều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Vị trí, chức danh công việc được phân công tại Điểm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Thời gian làm việc tại Điểm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Các thông tin khác có liên quan đến việc kiểm soát đối tượng được phép ra, vào Điểm kinh doanh theo yêu cầu quản lý của doanh nghiệp.</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15" w:name="dieu_5"/>
      <w:r w:rsidRPr="00B557A5">
        <w:rPr>
          <w:rFonts w:ascii="Times New Roman" w:eastAsia="Times New Roman" w:hAnsi="Times New Roman" w:cs="Times New Roman"/>
          <w:b/>
          <w:bCs/>
          <w:sz w:val="28"/>
          <w:szCs w:val="28"/>
        </w:rPr>
        <w:t>Điều 5. Số lượng, chủng loại máy và loại hình trò chơi điện tử có thưởng</w:t>
      </w:r>
      <w:bookmarkEnd w:id="15"/>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Số lượng máy trò chơi điện tử có thưởng doanh nghiệp được phép kinh doanh tối đa được quy định tại Giấy chứng nhận đủ điều kiện kinh doanh do Bộ Tài chính cấp. Doanh nghiệp được quyền quyết định số lượng máy trò chơi điện tử có thưởng thực tế kinh doanh nhưng không được phép vượt quá số lượng máy trò chơi điện tử có thưởng tối đa quy định tại Giấy chứng nhận đủ điều kiện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Căn cứ số lượng máy trò chơi điện tử có thưởng thực tế doanh nghiệp tổ chức kinh doanh, doanh nghiệp được lựa chọn chủng loại máy, loại hình trò chơi điện tử có thưởng và tỷ lệ máy trò chơi điện tử có thưởng theo quy định tại Phụ lục số 01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Trong thời hạn năm (05) ngày làm việc, kể từ ngày doanh nghiệp bắt đầu tổ chức hoạt động kinh doanh trò chơi điện tử có thưởng, doanh nghiệp có trách nhiệm báo cáo bằng văn bản gửi Bộ Tài chính, Sở Tài chính, Sở Văn hóa, Thể thao và Du lịch và Cục Thuế địa phương về số lượng, chủng loại máy, loại hình trò chơi điện tử có thưởng và tỷ lệ máy trò chơi điện tử có thưởng thực tế kinh doanh để theo dõi, quản lý.</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xml:space="preserve">4. Trong quá trình hoạt động kinh doanh, doanh nghiệp được quyền thay đổi số lượng, chủng loại máy, loại hình trò chơi điện tử có thưởng và tỷ lệ máy trò chơi điện tử có thưởng nhưng phải đảm bảo tuân thủ đúng các quy định về số lượng, </w:t>
      </w:r>
      <w:r w:rsidRPr="00B557A5">
        <w:rPr>
          <w:rFonts w:ascii="Times New Roman" w:eastAsia="Times New Roman" w:hAnsi="Times New Roman" w:cs="Times New Roman"/>
          <w:sz w:val="28"/>
          <w:szCs w:val="28"/>
        </w:rPr>
        <w:lastRenderedPageBreak/>
        <w:t>chủng loại máy, loại hình trò chơi điện tử có thưởng và tỷ lệ máy trò chơi điện tử có thưởng quy định tại Thông tư này và Giấy chứng nhận đủ điều kiện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Trường hợp có thay đổi về số lượng, chủng loại máy, loại hình trò chơi điện tử có thưởng và tỷ lệ máy trò chơi điện tử có thưởng, trong thời hạn năm (05) ngày làm việc, kể từ ngày thay đổi về số lượng, chủng loại máy, loại hình trò chơi điện tử có thưởng và tỷ lệ máy trò chơi điện tử có thưởng, doanh nghiệp có trách nhiệm báo cáo bằng văn bản gửi Bộ Tài chính, Sở Tài chính, Sở Văn hóa, Thể thao và Du lịch và Cục Thuế địa phương để theo dõi, quản lý.</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16" w:name="dieu_6"/>
      <w:r w:rsidRPr="00B557A5">
        <w:rPr>
          <w:rFonts w:ascii="Times New Roman" w:eastAsia="Times New Roman" w:hAnsi="Times New Roman" w:cs="Times New Roman"/>
          <w:b/>
          <w:bCs/>
          <w:sz w:val="28"/>
          <w:szCs w:val="28"/>
        </w:rPr>
        <w:t>Điều 6. Quản lý đồng tiền quy ước</w:t>
      </w:r>
      <w:bookmarkEnd w:id="16"/>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Đồng tiền quy ước để thay thế tiền mặt sử dụng trong Điểm kinh doanh trò chơi điện tử có thưởng của doanh nghiệp được thể hiện dưới các hình thức sau đây: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Đồng xèng;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Thẻ, phiếu;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Điểm quy đổi;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Các hình thức thay thế tiền mặt khác do doanh nghiệp quy định.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Đồng tiền quy ước quy định tại điểm a và điểm b Khoản 1 Điều này phải có các thông tin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Tên hoặc biểu tượng của doanh nghiệp;</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Mã số, ký hiệu của đồng tiền quy ước;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Mệnh giá của đồng tiền quy ước;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Tên, ký hiệu nhà sản xuất, cung cấp (nếu có);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đ) Các nội dung khác theo yêu cầu quản lý của doanh nghiệp.</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Tối thiểu năm (05) ngày làm việc trước khi đưa đồng tiền quy ước vào kinh doanh, doanh nghiệp phải đăng ký về hình thức, mẫu mã, số lượng, chủng loại đồng tiền quy ước với Sở Tài chính và cơ quan thuế trực tiếp quản lý tại địa phương để theo dõi, quản lý.</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Doanh nghiệp được quyền tạm ngừng sử dụng đồng tiền quy ước đã đăng ký với các cơ quan quản lý nhà nước theo quy định tại Khoản 3 Điều này theo nhu cầu quản lý. Trước thời điểm tạm ngừng sử dụng đồng tiền quy ước tối thiểu năm (05) ngày làm việc, doanh nghiệp phải thông báo bằng văn bản cho các cơ quan này. Nội dung thông báo phải nêu rõ thời điểm tạm ngừng sử dụng đồng tiền quy ước, lý do tạm ngừng sử dụng đồng tiền quy ước, thời gian dự kiến tiếp tục sử dụng trở lại. Trường hợp có thay đổi về thời điểm tiếp tục sử dụng đồng tiền quy ước trở lại, doanh nghiệp phải thông báo cho các cơ quan này bằng văn bản.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5. Doanh nghiệp phải mở Sổ theo dõi quản lý đồng tiền quy ước, bao gồm các nội dung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Hình thức đồng tiền quy ước;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Số lượng, chủng loại đồng tiền quy ước doanh nghiệp mua, tái xuất hoặc tiêu hủy, trong đó cụ thể theo từng mệnh giá và loại ngoại tệ, ngày mua, tái xuất hoặc tiêu hủy, tên nhà sản xuất, cung cấp (nếu có) đối với đồng tiền quy ước quy định tại điểm a và điểm b Khoản 1 Điều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Các nội dung khác theo yêu cầu quản lý của doanh nghiệp.</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6. Việc mua, tái xuất hoặc tiêu hủy đồng tiền quy ước được thực hiện theo quy định tại</w:t>
      </w:r>
      <w:bookmarkStart w:id="17" w:name="dc_33"/>
      <w:r w:rsidRPr="00B557A5">
        <w:rPr>
          <w:rFonts w:ascii="Times New Roman" w:eastAsia="Times New Roman" w:hAnsi="Times New Roman" w:cs="Times New Roman"/>
          <w:sz w:val="28"/>
          <w:szCs w:val="28"/>
        </w:rPr>
        <w:t>Điều 14 Nghị định số 86/2013/NĐ-CP</w:t>
      </w:r>
      <w:bookmarkEnd w:id="17"/>
      <w:r w:rsidRPr="00B557A5">
        <w:rPr>
          <w:rFonts w:ascii="Times New Roman" w:eastAsia="Times New Roman" w:hAnsi="Times New Roman" w:cs="Times New Roman"/>
          <w:sz w:val="28"/>
          <w:szCs w:val="28"/>
        </w:rPr>
        <w:t>, Điều 8 Thông tư này và các quy định của pháp luật liên quan.</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18" w:name="dieu_7"/>
      <w:r w:rsidRPr="00B557A5">
        <w:rPr>
          <w:rFonts w:ascii="Times New Roman" w:eastAsia="Times New Roman" w:hAnsi="Times New Roman" w:cs="Times New Roman"/>
          <w:b/>
          <w:bCs/>
          <w:sz w:val="28"/>
          <w:szCs w:val="28"/>
        </w:rPr>
        <w:t>Điều 7. Quản lý các thiết bị dự phòng của máy trò chơi điện tử có thưởng</w:t>
      </w:r>
      <w:bookmarkEnd w:id="18"/>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Chỉ doanh nghiệp đã được cấp Giấy chứng nhận đủ điều kiện kinh doanh mới được phép mua các thiết bị dự phòng của máy trò chơi điện tử có thưởng để thay thế khi cần thiết theo quy định tại </w:t>
      </w:r>
      <w:bookmarkStart w:id="19" w:name="dc_34"/>
      <w:r w:rsidRPr="00B557A5">
        <w:rPr>
          <w:rFonts w:ascii="Times New Roman" w:eastAsia="Times New Roman" w:hAnsi="Times New Roman" w:cs="Times New Roman"/>
          <w:sz w:val="28"/>
          <w:szCs w:val="28"/>
        </w:rPr>
        <w:t>Khoản 3 Điều 14 Nghị định số 86/2013/NĐ-CP</w:t>
      </w:r>
      <w:bookmarkEnd w:id="19"/>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Thiết bị dự phòng của máy trò chơi điện tử có thưởng doanh nghiệp được phép mua bao gồm: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Màn hình;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Hệ thống nhận tiền mặt, đồng tiền quy ước;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Hệ thống trả thưởng;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Hệ thống lưu trữ;</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đ) Bảng mạch.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Số lượng từng thiết bị dự phòng tại Khoản 2 Điều này không được vượt quá 10% trên tổng số thiết bị cùng chủng loại của các máy trò chơi điện tử có thưởng doanh nghiệp đang thực tế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Thiết bị dự phòng của máy trò chơi điện tử có thưởng quy định tại Khoản 2 Điều này phải là thiết bị mới 100%, có xuất xứ từ nhà sản xuất, cung cấp máy trò chơi điện tử có thưởng theo quy định tại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5. Doanh nghiệp phải mở Sổ quản lý đối với từng thiết bị dự phòng của máy trò chơi điện tử có thưởng, bao gồm các nội dung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Số lượng, chủng loại cụ thể thiết bị dự phòng của máy trò chơi điện tử có thưởng doanh nghiệp mua, tái xuất hoặc tiêu hủy;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Ngày mua, tái xuất hoặc tiêu hủy;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Tên nhà sản xuất, cung cấp;</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d) Ký hiệu (số series) của thiết bị (nếu có);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đ) Năm sản xuất;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e) Năm hết hạn sử dụng (nếu có);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g) Ngày đưa vào sử dụng đối với từng thiết bị;</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h) Lý do đưa vào sử dụng.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6. Khi đưa thiết bị dự phòng của máy trò chơi điện tử có thưởng vào thay thế, doanh nghiệp phải lập biên bản ghi rõ máy có thiết bị được thay thế, thiết bị được thay thế và lý do thay thế.</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7. Việc thay thế thiết bị dự phòng phải đảm bảo nguyên tắc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Không làm ảnh hưởng đến tỷ lệ trả thưởng tối thiểu quy định tại điểm đ Khoản 3 Điều 10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Không làm tăng số lượng máy, chủng loại máy, loại hình trò chơi điện tử có thưởng được phép kinh doanh.</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20" w:name="dieu_8"/>
      <w:r w:rsidRPr="00B557A5">
        <w:rPr>
          <w:rFonts w:ascii="Times New Roman" w:eastAsia="Times New Roman" w:hAnsi="Times New Roman" w:cs="Times New Roman"/>
          <w:b/>
          <w:bCs/>
          <w:sz w:val="28"/>
          <w:szCs w:val="28"/>
        </w:rPr>
        <w:t>Điều 8. Quy trình, thủ tục tiêu hủy máy, thiết bị của máy trò chơi điện tử có thưởng và đồng tiền quy ước</w:t>
      </w:r>
      <w:bookmarkEnd w:id="20"/>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Việc tiêu hủy máy, thiết bị của máy trò chơi điện tử có thưởng và đồng tiền quy ước thực hiện theo quy định tại </w:t>
      </w:r>
      <w:bookmarkStart w:id="21" w:name="dc_35"/>
      <w:r w:rsidRPr="00B557A5">
        <w:rPr>
          <w:rFonts w:ascii="Times New Roman" w:eastAsia="Times New Roman" w:hAnsi="Times New Roman" w:cs="Times New Roman"/>
          <w:sz w:val="28"/>
          <w:szCs w:val="28"/>
        </w:rPr>
        <w:t>Khoản 4 và Khoản 5 Điều 14 Nghị định số 86/2013/NĐ-CP</w:t>
      </w:r>
      <w:bookmarkEnd w:id="21"/>
      <w:r w:rsidRPr="00B557A5">
        <w:rPr>
          <w:rFonts w:ascii="Times New Roman" w:eastAsia="Times New Roman" w:hAnsi="Times New Roman" w:cs="Times New Roman"/>
          <w:sz w:val="28"/>
          <w:szCs w:val="28"/>
        </w:rPr>
        <w:t> và quy định tại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Quy trình, thủ tục tiêu hủy máy, thiết bị của máy trò chơi điện tử có thưởng và đồng tiền quy ước như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Doanh nghiệp có nhu cầu tiêu hủy gửi văn bản tới Sở Tài chính, Sở Văn hóa, Thể thao và Du lịch, cơ quan thuế trực tiếp quản lý tại địa phương thông báo về kế hoạch tiêu hủy và đề nghị các cơ quan nêu trên cử đại diện tham gia giám sát và xác nhận quá trình tiêu hủy;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Trong thời hạn bẩy (07) ngày làm việc, kể từ ngày nhận được văn bản của doanh nghiệp, các cơ quan nêu tại điểm a Khoản này phải có văn bản gửi doanh nghiệp xác nhận việc cử đại diện của cơ quan tham gia giám sát quá trình tiêu hủy. Doanh nghiệp được phép thực hiện tiêu hủy nếu có ít nhất một (01) đại diện của các cơ quan nêu trên tham gia giám sát quá trình tiêu hủy;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Trong thời hạn bẩy (07) ngày làm việc, kể từ ngày nhận được văn bản xác nhận của các cơ quan liên quan, doanh nghiệp thông báo cho đại diện các cơ quan này cụ thể thời gian, địa điểm tiêu hủy, số lượng, chủng loại máy, thiết bị của máy trò chơi điện tử có thưởng và đồng tiền quy ước dự kiến tiêu hủy, biện pháp tiêu hủy và tổ chức tiêu hủy theo nội dung đã thông báo;</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d) Kết thúc quá trình tiêu hủy, các bên tham gia tiêu hủy tiến hành lập biên bản xác nhận việc tiêu hủy theo mẫu quy định tại Phụ lục số 02 ban hành kèm theo Thông tư này.</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22" w:name="dieu_9"/>
      <w:r w:rsidRPr="00B557A5">
        <w:rPr>
          <w:rFonts w:ascii="Times New Roman" w:eastAsia="Times New Roman" w:hAnsi="Times New Roman" w:cs="Times New Roman"/>
          <w:b/>
          <w:bCs/>
          <w:sz w:val="28"/>
          <w:szCs w:val="28"/>
        </w:rPr>
        <w:t>Điều 9. Nhà sản xuất, cung cấp máy trò chơi điện tử có thưởng và tổ chức kiểm định độc lập máy trò chơi điện tử có thưởng</w:t>
      </w:r>
      <w:bookmarkEnd w:id="22"/>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Nhà sản xuất, cung cấp máy trò chơi điện tử có thưởng và tổ chức kiểm định độc lập máy trò chơi điện tử có thưởng được phép cung cấp máy trò chơi điện tử có thưởng và cung cấp dịch vụ kiểm định máy trò chơi điện tử có thưởng tại Việt Nam nếu được phép hoạt động tại thị trường Macao và đã được công bố trên trang website: www.dicj.gov.mo.</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Doanh nghiệp khi mua máy trò chơi điện tử có thưởng hoặc làm thủ tục kiểm định máy trò chơi điện tử có thưởng phải yêu cầu nhà sản xuất, cung cấp máy trò chơi điện tử có thưởng hoặc tổ chức kiểm định độc lập máy trò chơi điện tử có thưởng cung cấp đầy đủ các tài liệu chứng minh đáp ứng các điều kiện theo quy định tại Khoản 1 Điều này. Các tài liệu này phải được công chứng, chứng thực hoặc được hợp thức hóa lãnh sự của cơ quan có thẩm quyền. Doanh nghiệp có trách nhiệm lưu trữ các tài liệu này để phục vụ công tác kiểm tra, thanh tra của cơ quan quản lý nhà nước.</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23" w:name="dieu_10"/>
      <w:r w:rsidRPr="00B557A5">
        <w:rPr>
          <w:rFonts w:ascii="Times New Roman" w:eastAsia="Times New Roman" w:hAnsi="Times New Roman" w:cs="Times New Roman"/>
          <w:b/>
          <w:bCs/>
          <w:sz w:val="28"/>
          <w:szCs w:val="28"/>
        </w:rPr>
        <w:t>Điều 10. Điều kiện kỹ thuật máy trò chơi điện tử có thưởng</w:t>
      </w:r>
      <w:bookmarkEnd w:id="23"/>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Máy trò chơi điện tử có thưởng phải đảm bảo các điều kiện kỹ thuật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Được thiết kế và chế tạo đảm bảo các trò chơi có thưởng diễn ra trung thực, khách quan, an toàn, ổn định và có thể kiểm tra được khi cơ quan quản lý nhà nước có thẩm quyền thực hiện nhiệm vụ kiểm tra, thanh tra theo quy định tại Nghị định số 86/2013/NĐ-CP;</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Có tài liệu hướng dẫn mô tả chi tiết đặc tính kỹ thuật phần cứng, phần mềm, thiết bị ngoại vi, cách vận hành máy, bảo dưỡng, bảo trì, cách thức thay thế, sửa chữa các bộ phận hư hỏng.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Phần cứng của máy trò chơi điện tử có thưởng phải đảm bảo các điều kiện kỹ thuật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Thân máy trò chơi điện tử có thưởng phải đảm bảo chắc chắn để chống lại mọi sự can thiệp trái phép từ bên ngoài. Trên thân máy phải có tem do nhà sản xuất, cung cấp gắn ở bên ngoài, ghi rõ các thông tin cơ bản sau: Tên nhà sản xuất, cung cấp, ký hiệu (số series) của máy, ngày sản xuất và ngày hết hạn sử dụng (nếu có);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Hệ thống nhận tiền mặt, đồng tiền quy ước phải đảm bảo chỉ chấp nhận những loại tiền mặt do doanh nghiệp quy định, đồng tiền quy ước của doanh nghiệp và ngăn chặn được các tác động từ bên ngoài;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c) Hệ thống trả thưởng cho người chơi phải được đặt trong các máy trò chơi điện tử có thưởng, đảm bảo ngăn chặn các tác động từ bên ngoài;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Hệ thống lưu trữ của máy trò chơi điện tử có thưởng phải được thiết kế tại một vị trí riêng biệt đối với các bộ phận khác trong thân máy, phải có cơ chế cho phép kiểm tra, theo dõi thông tin về các chức năng quan trọng của máy bao gồm: Hiện trạng phần cứng, phần mềm, các trò chơi và kết quả của trò chơi, thông tin về các giao dịch, thanh toán tiền chơi;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đ) Bảng mạch của máy trò chơi điện tử có thưởng phải được thiết kế và hoạt động theo đúng tài liệu hướng dẫn của nhà sản xuất, từng bảng mạch phải có tên hoặc đánh số, các thay đổi được ghi lại trong hồ sơ và đảm bảo không ảnh hưởng đến hoạt động chung của máy;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e) Thiết bị cơ khí sử dụng để điều khiển các trò chơi điện tử có thưởng phải đảm bảo không được ảnh hưởng đến các thành phần khác trong máy trò chơi điện tử có thưởng.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Phần mềm của máy trò chơi điện tử có thưởng phải đảm bảo các điều kiện kỹ thuật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Chương trình phần mềm kiểm tra tình trạng máy phải có khả năng phát hiện, nhanh chóng phân tích và đưa ra biện pháp xử lý sự cố phát sinh;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Chương trình phần mềm đo kiểm phải có chức năng vận hành và quản lý các đồng hồ điện tử kỹ thuật nhằm lưu trữ, hiển thị và cập nhật thông tin;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Chương trình phần mềm vận hành cơ chế lựa chọn ngẫu nhiên phải đảm bảo lựa chọn kết quả trò chơi một cách độc lập, không định trước và không tạo ra các yếu tố để có thể phán đoán được kết quả trò chơi;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Chương trình phần mềm kiểm soát quá trình khôi phục hoạt động của máy trò chơi điện tử có thưởng phải có khả năng khôi phục và giữ nguyên trạng thái hoạt động của máy trò chơi điện tử có thưởng ngay trước khi hoạt động của máy bị gián đoạn, phải có khả năng phát hiện mọi thay đổi từ thời điểm hoạt động của máy bị gián đoạn;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đ) Tỷ lệ trả thưởng cố định tối thiểu đối với các máy giật xèng là 90% (đã bao gồm giải thưởng tích lũy) và được cài đặt sẵn trong máy. Trường hợp doanh nghiệp thay đổi tỷ lệ trả thưởng phải đảm bảo tỷ lệ trả thưởng không thấp hơn tỷ lệ trả thưởng tối thiểu theo quy định, doanh nghiệp phải làm thủ tục kiểm định lại trước khi đưa máy vào sử dụng và phải quy định cụ thể tỷ lệ trả thưởng trong Thể lệ trò chơi;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e) Máy trò chơi điện tử có thưởng phải cho phép kiểm tra phần mềm ngay tại Điểm kinh doanh khi có yêu cầu của cơ quan quản lý nhà nước có thẩm quyền;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g) Hệ thống báo cáo của máy trò chơi điện tử có thưởng phải đảm bảo cung cấp được các báo cáo tổng hợp và chi tiết về kết quả của trò chơi, thông tin về các giao dịch, thanh toán tiền chơi, báo cáo tổng số tiền vào, ra của máy, số dư đầu kỳ, cuối kỳ.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Các thiết bị ngoại vi của máy trò chơi điện tử có thưởng phải đảm bảo các điều kiện kỹ thuật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Màn hình của máy trò chơi điện tử có thưởng phải có khả năng chống xước, không có các phím chức năng bí mật hoặc không được ghi trong tài liệu hướng dẫn mà có thể ảnh hưởng đến trò chơi;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Cáp nối, ổ cắm phải dễ nhận dạng, được thiết kế để nhân viên kỹ thuật tiện sửa chữa đồng thời ngăn chặn được sự truy cập từ bên ngoài;</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Hệ thống công tắc điện ghi rõ nút tắt, mở và ở vị trí để hạn chế người chơi tự động đóng, mở điện.</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24" w:name="dieu_11"/>
      <w:r w:rsidRPr="00B557A5">
        <w:rPr>
          <w:rFonts w:ascii="Times New Roman" w:eastAsia="Times New Roman" w:hAnsi="Times New Roman" w:cs="Times New Roman"/>
          <w:b/>
          <w:bCs/>
          <w:sz w:val="28"/>
          <w:szCs w:val="28"/>
        </w:rPr>
        <w:t>Điều 11. Quy chế giải quyết tranh chấp trong Điểm kinh doanh</w:t>
      </w:r>
      <w:bookmarkEnd w:id="24"/>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Doanh nghiệp phải xây dựng Quy chế giải quyết tranh chấp giữa người chơi với người chơi, giữa người chơi với doanh nghiệp trong Điểm kinh doanh. Quy chế giải quyết tranh chấp phải có các nội dung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Các trường hợp tranh chấp được xử lý theo Quy chế giải quyết tranh chấp;</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Quy trình, thủ tục giải quyết tranh chấp, trong đó nêu cụ thể: Hồ sơ đề nghị giải quyết tranh chấp, bộ phận tiếp nhận hồ sơ, thời gian xử lý tranh chấp của doanh nghiệp và thẩm quyền quyết định giải quyết tranh chấp;</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Trách nhiệm cụ thể của các bên trong quá trình giải quyết tranh chấp;</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Các nội dung liên quan khác do doanh nghiệp quy định.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Doanh nghiệp phải niêm yết và phát hành tờ rơi công khai Quy chế giải quyết tranh chấp tại Điểm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Các bên liên quan chịu trách nhiệm thực hiện theo đúng quy định tại Quy chế giải quyết tranh chấp trong Điểm kinh doanh. Trường hợp một trong các bên không đồng ý kết quả giải quyết tranh chấp, các bên làm thủ tục ra tòa án để giải quyết theo quy định của pháp luật dân sự Việt Nam.</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25" w:name="chuong_3"/>
      <w:r w:rsidRPr="00B557A5">
        <w:rPr>
          <w:rFonts w:ascii="Times New Roman" w:eastAsia="Times New Roman" w:hAnsi="Times New Roman" w:cs="Times New Roman"/>
          <w:b/>
          <w:bCs/>
          <w:sz w:val="28"/>
          <w:szCs w:val="28"/>
        </w:rPr>
        <w:t>Chương III</w:t>
      </w:r>
      <w:bookmarkEnd w:id="25"/>
    </w:p>
    <w:p w:rsidR="00B557A5" w:rsidRPr="00B557A5" w:rsidRDefault="00B557A5" w:rsidP="00B557A5">
      <w:pPr>
        <w:shd w:val="clear" w:color="auto" w:fill="FFFFFF"/>
        <w:spacing w:after="0" w:line="234" w:lineRule="atLeast"/>
        <w:jc w:val="center"/>
        <w:rPr>
          <w:rFonts w:ascii="Times New Roman" w:eastAsia="Times New Roman" w:hAnsi="Times New Roman" w:cs="Times New Roman"/>
          <w:sz w:val="28"/>
          <w:szCs w:val="28"/>
        </w:rPr>
      </w:pPr>
      <w:bookmarkStart w:id="26" w:name="chuong_3_name"/>
      <w:r w:rsidRPr="00B557A5">
        <w:rPr>
          <w:rFonts w:ascii="Times New Roman" w:eastAsia="Times New Roman" w:hAnsi="Times New Roman" w:cs="Times New Roman"/>
          <w:b/>
          <w:bCs/>
          <w:sz w:val="28"/>
          <w:szCs w:val="28"/>
        </w:rPr>
        <w:t>HỒ SƠ, QUY TRÌNH THỦ TỤC CẤP GIẤY CHỨNG NHẬN ĐỦ ĐIỀU KIỆN KINH DOANH TRÒ CHƠI ĐIỆN TỬ CÓ THƯỞNG</w:t>
      </w:r>
      <w:bookmarkEnd w:id="26"/>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27" w:name="dieu_12"/>
      <w:r w:rsidRPr="00B557A5">
        <w:rPr>
          <w:rFonts w:ascii="Times New Roman" w:eastAsia="Times New Roman" w:hAnsi="Times New Roman" w:cs="Times New Roman"/>
          <w:b/>
          <w:bCs/>
          <w:sz w:val="28"/>
          <w:szCs w:val="28"/>
        </w:rPr>
        <w:t>Điều 12. Hồ sơ, quy trình thủ tục cấp Giấy chứng nhận đủ điều kiện kinh doanh</w:t>
      </w:r>
      <w:bookmarkEnd w:id="27"/>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1. Các doanh nghiệp đáp ứng đủ các điều kiện quy định tại </w:t>
      </w:r>
      <w:bookmarkStart w:id="28" w:name="dc_36"/>
      <w:r w:rsidRPr="00B557A5">
        <w:rPr>
          <w:rFonts w:ascii="Times New Roman" w:eastAsia="Times New Roman" w:hAnsi="Times New Roman" w:cs="Times New Roman"/>
          <w:sz w:val="28"/>
          <w:szCs w:val="28"/>
        </w:rPr>
        <w:t>Điều 19 Nghị định số 86/2013/NĐ-CP</w:t>
      </w:r>
      <w:bookmarkEnd w:id="28"/>
      <w:r w:rsidRPr="00B557A5">
        <w:rPr>
          <w:rFonts w:ascii="Times New Roman" w:eastAsia="Times New Roman" w:hAnsi="Times New Roman" w:cs="Times New Roman"/>
          <w:sz w:val="28"/>
          <w:szCs w:val="28"/>
        </w:rPr>
        <w:t> được xem xét cấp Giấy chứng nhận đủ điều kiện kinh doanh. Hồ sơ, quy trình thủ tục, nội dung thẩm định xem xét cấp Giấy chứng nhận đủ điều kiện kinh doanh theo quy định tại </w:t>
      </w:r>
      <w:bookmarkStart w:id="29" w:name="dc_37"/>
      <w:r w:rsidRPr="00B557A5">
        <w:rPr>
          <w:rFonts w:ascii="Times New Roman" w:eastAsia="Times New Roman" w:hAnsi="Times New Roman" w:cs="Times New Roman"/>
          <w:sz w:val="28"/>
          <w:szCs w:val="28"/>
        </w:rPr>
        <w:t>Điều 20 và Điều 21 Nghị định số 86/2013/NĐ-CP</w:t>
      </w:r>
      <w:bookmarkEnd w:id="29"/>
      <w:r w:rsidRPr="00B557A5">
        <w:rPr>
          <w:rFonts w:ascii="Times New Roman" w:eastAsia="Times New Roman" w:hAnsi="Times New Roman" w:cs="Times New Roman"/>
          <w:sz w:val="28"/>
          <w:szCs w:val="28"/>
        </w:rPr>
        <w:t>, trong đó Đơn xin cấp Giấy chứng nhận đủ điều kiện kinh doanh theo mẫu quy định tại Phụ lục số 03 ban hành kèm theo Thông tư này.</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Khi xem xét cấp Giấy chứng nhận đủ điều kiện kinh doanh đối với các doanh nghiệp quy định tại Khoản 1 Điều này, Bộ Tài chính căn cứ vào tổng số buồng lưu trú tại cơ sở lưu trú du lịch thực tế đang kinh doanh để xác định số lượng máy trò chơi điện tử có thưởng theo quy định tại </w:t>
      </w:r>
      <w:bookmarkStart w:id="30" w:name="dc_38"/>
      <w:r w:rsidRPr="00B557A5">
        <w:rPr>
          <w:rFonts w:ascii="Times New Roman" w:eastAsia="Times New Roman" w:hAnsi="Times New Roman" w:cs="Times New Roman"/>
          <w:sz w:val="28"/>
          <w:szCs w:val="28"/>
        </w:rPr>
        <w:t>Khoản 1 Điều 7 Nghị định số 86/2013/NĐ-CP</w:t>
      </w:r>
      <w:bookmarkEnd w:id="30"/>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Các doanh nghiệp đang tổ chức hoạt động kinh doanh trò chơi điện tử có thưởng theo quy định tại </w:t>
      </w:r>
      <w:bookmarkStart w:id="31" w:name="dc_39"/>
      <w:r w:rsidRPr="00B557A5">
        <w:rPr>
          <w:rFonts w:ascii="Times New Roman" w:eastAsia="Times New Roman" w:hAnsi="Times New Roman" w:cs="Times New Roman"/>
          <w:sz w:val="28"/>
          <w:szCs w:val="28"/>
        </w:rPr>
        <w:t>Khoản 1 Điều 51 Nghị định số 86/2013/NĐ-CP</w:t>
      </w:r>
      <w:bookmarkEnd w:id="31"/>
      <w:r w:rsidRPr="00B557A5">
        <w:rPr>
          <w:rFonts w:ascii="Times New Roman" w:eastAsia="Times New Roman" w:hAnsi="Times New Roman" w:cs="Times New Roman"/>
          <w:sz w:val="28"/>
          <w:szCs w:val="28"/>
        </w:rPr>
        <w:t> phải làm thủ tục đề nghị cấp Giấy chứng nhận đủ điều kiện kinh doanh. Hồ sơ đề nghị cấp Giấy chứng nhận đủ điều kiện kinh doanh bao gồm: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Đơn xin cấp Giấy chứng nhận đủ điều kiện kinh doanh theo mẫu quy định tại Phụ lục số 03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Bản sao có chứng thực Giấy chứng nhận đầu tư hoặc Giấy chứng nhận đăng ký doanh nghiệp được cơ quan quản lý nhà nước có thẩm quyền cấp còn hiệu lực, trong đó quy định doanh nghiệp được phép kinh doanh trò chơi điện tử có thưởng hoặc văn bản của cơ quan quản lý nhà nước có thẩm quyền cho phép doanh nghiệp kinh doanh trò chơi điện tử có thưởng;</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Các hồ sơ quy định tại </w:t>
      </w:r>
      <w:bookmarkStart w:id="32" w:name="dc_40"/>
      <w:r w:rsidRPr="00B557A5">
        <w:rPr>
          <w:rFonts w:ascii="Times New Roman" w:eastAsia="Times New Roman" w:hAnsi="Times New Roman" w:cs="Times New Roman"/>
          <w:sz w:val="28"/>
          <w:szCs w:val="28"/>
        </w:rPr>
        <w:t>Khoản 3, 5, 6, 7, 8 và 10 Điều 20 Nghị định số 86/2013/NĐ-CP</w:t>
      </w:r>
      <w:bookmarkEnd w:id="32"/>
      <w:r w:rsidRPr="00B557A5">
        <w:rPr>
          <w:rFonts w:ascii="Times New Roman" w:eastAsia="Times New Roman" w:hAnsi="Times New Roman" w:cs="Times New Roman"/>
          <w:sz w:val="28"/>
          <w:szCs w:val="28"/>
        </w:rPr>
        <w:t>. Riêng đối với các doanh nghiệp không có cơ sở lưu trú du lịch không phải nộp hồ sơ quy định tại </w:t>
      </w:r>
      <w:bookmarkStart w:id="33" w:name="dc_41"/>
      <w:r w:rsidRPr="00B557A5">
        <w:rPr>
          <w:rFonts w:ascii="Times New Roman" w:eastAsia="Times New Roman" w:hAnsi="Times New Roman" w:cs="Times New Roman"/>
          <w:sz w:val="28"/>
          <w:szCs w:val="28"/>
        </w:rPr>
        <w:t>Khoản 3 Điều 20 Nghị định số 86/2013/NĐ-CP</w:t>
      </w:r>
      <w:bookmarkEnd w:id="33"/>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Phương án kinh doanh, bao gồm các nội dung cơ bản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Tình hình kinh doanh trò chơi điện tử có thưởng trước thời điểm nộp hồ sơ đề nghị cấp Giấy chứng nhận đủ điều kiện kinh doanh, bao gồm: Số lượng máy trò chơi điện tử có thưởng tối đa được phép kinh doanh, thông tin về Điểm kinh doanh (vị trí, diện tích), số lượng, chủng loại máy, loại hình trò chơi điện tử có thưởng thực tế doanh nghiệp đang kinh doanh, kết quả kinh doanh trò chơi điện tử có thưởng của doanh nghiệp trong ba (03) năm gần nhất tới thời điểm nộp hồ sơ đề nghị cấp Giấy chứng nhận đủ điều kiện kinh doanh (doanh thu, chi phí, lợi nhuận và các khoản nộp ngân sách nhà nước);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xml:space="preserve">- Dự kiến kế hoạch kinh doanh trong thời gian tới, bao gồm: Số lượng, chủng loại máy, loại hình trò chơi điện tử có thưởng đề xuất tiếp tục kinh doanh, dự kiến doanh thu, chi phí, lợi nhuận, dự kiến nhu cầu thu, chi ngoại tệ, giải pháp đảm bảo </w:t>
      </w:r>
      <w:r w:rsidRPr="00B557A5">
        <w:rPr>
          <w:rFonts w:ascii="Times New Roman" w:eastAsia="Times New Roman" w:hAnsi="Times New Roman" w:cs="Times New Roman"/>
          <w:sz w:val="28"/>
          <w:szCs w:val="28"/>
        </w:rPr>
        <w:lastRenderedPageBreak/>
        <w:t>an ninh, trật tự, an toàn xã hội đối với Điểm kinh doanh, thời gian hoạt động kinh doanh và kế hoạch triển khai thực hiện.</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Quy trình thủ tục cấp Giấy chứng nhận đủ điều kiện kinh doanh cho các doanh nghiệp quy định tại Khoản 3 Điều này được thực hiện theo quy định tại </w:t>
      </w:r>
      <w:bookmarkStart w:id="34" w:name="dc_42"/>
      <w:r w:rsidRPr="00B557A5">
        <w:rPr>
          <w:rFonts w:ascii="Times New Roman" w:eastAsia="Times New Roman" w:hAnsi="Times New Roman" w:cs="Times New Roman"/>
          <w:sz w:val="28"/>
          <w:szCs w:val="28"/>
        </w:rPr>
        <w:t>Khoản 1, 2 và 3 Điều 21 Nghị định số 86/2013/NĐ-CP</w:t>
      </w:r>
      <w:bookmarkEnd w:id="34"/>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5. Bộ Tài chính chủ trì, phối hợp với các cơ quan có liên quan gồm: Bộ Kế hoạch và Đầu tư, Bộ Văn hóa, Thể thao và Du lịch, Bộ Công an, Ngân hàng Nhà nước Việt Nam và Ủy ban nhân dân tỉnh, thành phố trực thuộc Trung ương nơi doanh nghiệp tổ chức hoạt động kinh doanh trò chơi điện tử có thưởng thẩm định hồ sơ đề nghị cấp Giấy chứng nhận đủ điều kiện kinh doanh cho các doanh nghiệp quy định tại Khoản 3 Điều này theo các nội dung phù hợp với các điều kiện quy định tại </w:t>
      </w:r>
      <w:bookmarkStart w:id="35" w:name="dc_43"/>
      <w:r w:rsidRPr="00B557A5">
        <w:rPr>
          <w:rFonts w:ascii="Times New Roman" w:eastAsia="Times New Roman" w:hAnsi="Times New Roman" w:cs="Times New Roman"/>
          <w:sz w:val="28"/>
          <w:szCs w:val="28"/>
        </w:rPr>
        <w:t>Khoản 1 Điều 51 Nghị định số 86/2013/NĐ-CP</w:t>
      </w:r>
      <w:bookmarkEnd w:id="35"/>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6. Giấy chứng nhận đủ điều kiện kinh doanh trò chơi điện tử có thưởng do Bộ Tài chính cấp theo mẫu quy định tại Phụ lục số 05 ban hành kèm theo Thông tư này.</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36" w:name="dieu_13"/>
      <w:r w:rsidRPr="00B557A5">
        <w:rPr>
          <w:rFonts w:ascii="Times New Roman" w:eastAsia="Times New Roman" w:hAnsi="Times New Roman" w:cs="Times New Roman"/>
          <w:b/>
          <w:bCs/>
          <w:sz w:val="28"/>
          <w:szCs w:val="28"/>
        </w:rPr>
        <w:t>Điều 13. Hồ sơ, quy trình thủ tục cấp lại Giấy chứng nhận đủ điều kiện kinh doanh</w:t>
      </w:r>
      <w:bookmarkEnd w:id="36"/>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Hồ sơ đề nghị cấp lại Giấy chứng nhận đủ điều kiện kinh doanh đối với các trường hợp quy định tại </w:t>
      </w:r>
      <w:bookmarkStart w:id="37" w:name="dc_44"/>
      <w:r w:rsidRPr="00B557A5">
        <w:rPr>
          <w:rFonts w:ascii="Times New Roman" w:eastAsia="Times New Roman" w:hAnsi="Times New Roman" w:cs="Times New Roman"/>
          <w:sz w:val="28"/>
          <w:szCs w:val="28"/>
        </w:rPr>
        <w:t>Khoản 1 Điều 23 Nghị định số 86/2013/NĐ-CP</w:t>
      </w:r>
      <w:bookmarkEnd w:id="37"/>
      <w:r w:rsidRPr="00B557A5">
        <w:rPr>
          <w:rFonts w:ascii="Times New Roman" w:eastAsia="Times New Roman" w:hAnsi="Times New Roman" w:cs="Times New Roman"/>
          <w:sz w:val="28"/>
          <w:szCs w:val="28"/>
        </w:rPr>
        <w:t> bao gồm: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Đơn xin cấp lại Giấy chứng nhận đủ điều kiện kinh doanh theo mẫu quy định tại Phụ lục số 04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Bản sao có chứng thực Giấy chứng nhận đầu tư hoặc Giấy chứng nhận đăng ký doanh nghiệp được cơ quan quản lý nhà nước có thẩm quyền cấp còn hiệu lực;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Bản sao có chứng thực Giấy chứng nhận đủ điều kiện kinh doanh của doanh nghiệp đã bị mất, thất lạc, bị hư hỏng (nếu có).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Quy trình thủ tục cấp lại Giấy chứng nhận đủ điều kiện kinh doanh</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Trong thời hạn mười lăm (15) ngày làm việc, kể từ ngày nhận đủ hồ sơ hợp lệ của doanh nghiệp theo quy định tại Khoản 1 Điều này, Bộ Tài chính cấp lại Giấy chứng nhận đủ điều kiện kinh doanh cho doanh nghiệp theo quy định tại </w:t>
      </w:r>
      <w:bookmarkStart w:id="38" w:name="dc_45"/>
      <w:r w:rsidRPr="00B557A5">
        <w:rPr>
          <w:rFonts w:ascii="Times New Roman" w:eastAsia="Times New Roman" w:hAnsi="Times New Roman" w:cs="Times New Roman"/>
          <w:sz w:val="28"/>
          <w:szCs w:val="28"/>
        </w:rPr>
        <w:t>Khoản 1 Điều 23 Nghị định số 86/2013/NĐ-CP</w:t>
      </w:r>
      <w:bookmarkEnd w:id="38"/>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Thời hạn của Giấy chứng nhận đủ điều kiện kinh doanh được cấp lại là thời hạn hoạt động còn lại được quy định tại Giấy chứng nhận đủ điều kiện kinh doanh được cấp, cấp lại hoặc điều chỉnh tại thời điểm gần nhất.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39" w:name="dieu_14"/>
      <w:r w:rsidRPr="00B557A5">
        <w:rPr>
          <w:rFonts w:ascii="Times New Roman" w:eastAsia="Times New Roman" w:hAnsi="Times New Roman" w:cs="Times New Roman"/>
          <w:b/>
          <w:bCs/>
          <w:sz w:val="28"/>
          <w:szCs w:val="28"/>
        </w:rPr>
        <w:t>Điều 14. Hồ sơ, quy trình thủ tục điều chỉnh Giấy chứng nhận đủ điều kiện kinh doanh</w:t>
      </w:r>
      <w:bookmarkEnd w:id="39"/>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Hồ sơ đề nghị điều chỉnh Giấy chứng nhận đủ điều kiện kinh doanh đối với các trường hợp quy định tại </w:t>
      </w:r>
      <w:bookmarkStart w:id="40" w:name="dc_46"/>
      <w:r w:rsidRPr="00B557A5">
        <w:rPr>
          <w:rFonts w:ascii="Times New Roman" w:eastAsia="Times New Roman" w:hAnsi="Times New Roman" w:cs="Times New Roman"/>
          <w:sz w:val="28"/>
          <w:szCs w:val="28"/>
        </w:rPr>
        <w:t>Khoản 2 Điều 23 Nghị định số 86/2013/NĐ-CP</w:t>
      </w:r>
      <w:bookmarkEnd w:id="40"/>
      <w:r w:rsidRPr="00B557A5">
        <w:rPr>
          <w:rFonts w:ascii="Times New Roman" w:eastAsia="Times New Roman" w:hAnsi="Times New Roman" w:cs="Times New Roman"/>
          <w:sz w:val="28"/>
          <w:szCs w:val="28"/>
        </w:rPr>
        <w:t> bao gồm: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a) Đơn xin điều chỉnh Giấy chứng nhận đủ điều kiện kinh doanh theo mẫu quy định tại Phụ lục số 04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Bản sao có chứng thực Giấy chứng nhận đầu tư hoặc Giấy chứng nhận đăng ký doanh nghiệp được cơ quan quản lý nhà nước có thẩm quyền cấp còn hiệu lực;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Bản sao có chứng thực Giấy chứng nhận đủ điều kiện kinh doanh;</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Các tài liệu chứng minh nội dung điều chỉnh Giấy chứng nhận đủ điều kiện kinh doanh phù hợp với quy định tại </w:t>
      </w:r>
      <w:bookmarkStart w:id="41" w:name="dc_47"/>
      <w:r w:rsidRPr="00B557A5">
        <w:rPr>
          <w:rFonts w:ascii="Times New Roman" w:eastAsia="Times New Roman" w:hAnsi="Times New Roman" w:cs="Times New Roman"/>
          <w:sz w:val="28"/>
          <w:szCs w:val="28"/>
        </w:rPr>
        <w:t>Khoản 2 Điều 23 Nghị định số 86/2013/NĐ-CP</w:t>
      </w:r>
      <w:bookmarkEnd w:id="41"/>
      <w:r w:rsidRPr="00B557A5">
        <w:rPr>
          <w:rFonts w:ascii="Times New Roman" w:eastAsia="Times New Roman" w:hAnsi="Times New Roman" w:cs="Times New Roman"/>
          <w:sz w:val="28"/>
          <w:szCs w:val="28"/>
        </w:rPr>
        <w:t> và các quy định của pháp luật có liên quan.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Quy trình thủ tục điều chỉnh Giấy chứng nhận đủ điều kiện kinh doanh</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Trong thời hạn ba mươi (30) ngày làm việc, kể từ ngày nhận đủ hồ sơ hợp lệ của doanh nghiệp theo quy định tại Khoản 1 Điều này, Bộ Tài chính cấp Giấy chứng nhận đủ điều kiện kinh doanh điều chỉnh cho doanh nghiệp theo quy định tại </w:t>
      </w:r>
      <w:bookmarkStart w:id="42" w:name="dc_48"/>
      <w:r w:rsidRPr="00B557A5">
        <w:rPr>
          <w:rFonts w:ascii="Times New Roman" w:eastAsia="Times New Roman" w:hAnsi="Times New Roman" w:cs="Times New Roman"/>
          <w:sz w:val="28"/>
          <w:szCs w:val="28"/>
        </w:rPr>
        <w:t>Khoản 2 Điều 23 Nghị định số 86/2013/NĐ-CP</w:t>
      </w:r>
      <w:bookmarkEnd w:id="42"/>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Thời hạn của Giấy chứng nhận đủ điều kiện kinh doanh điều chỉnh là thời hạn hoạt động còn lại được quy định tại Giấy chứng nhận đủ điều kiện kinh doanh được cấp, cấp lại hoặc điều chỉnh tại thời điểm gần nhất.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43" w:name="dieu_15"/>
      <w:r w:rsidRPr="00B557A5">
        <w:rPr>
          <w:rFonts w:ascii="Times New Roman" w:eastAsia="Times New Roman" w:hAnsi="Times New Roman" w:cs="Times New Roman"/>
          <w:b/>
          <w:bCs/>
          <w:sz w:val="28"/>
          <w:szCs w:val="28"/>
        </w:rPr>
        <w:t>Điều 15. Hồ sơ, quy trình thủ tục gia hạn Giấy chứng nhận đủ điều kiện kinh doanh</w:t>
      </w:r>
      <w:bookmarkEnd w:id="43"/>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Hồ sơ đề nghị gia hạn Giấy chứng nhận đủ điều kiện kinh doanh đối với các trường hợp quy định tại </w:t>
      </w:r>
      <w:bookmarkStart w:id="44" w:name="dc_49"/>
      <w:r w:rsidRPr="00B557A5">
        <w:rPr>
          <w:rFonts w:ascii="Times New Roman" w:eastAsia="Times New Roman" w:hAnsi="Times New Roman" w:cs="Times New Roman"/>
          <w:sz w:val="28"/>
          <w:szCs w:val="28"/>
        </w:rPr>
        <w:t>Khoản 3 Điều 23 Nghị định số 86/2013/NĐ-CP</w:t>
      </w:r>
      <w:bookmarkEnd w:id="44"/>
      <w:r w:rsidRPr="00B557A5">
        <w:rPr>
          <w:rFonts w:ascii="Times New Roman" w:eastAsia="Times New Roman" w:hAnsi="Times New Roman" w:cs="Times New Roman"/>
          <w:sz w:val="28"/>
          <w:szCs w:val="28"/>
        </w:rPr>
        <w:t> bao gồm: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Đơn xin gia hạn Giấy chứng nhận đủ điều kiện kinh doanh theo mẫu quy định tại Phụ lục số 04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Bản sao có chứng thực Giấy chứng nhận đủ điều kiện kinh doanh còn hiệu lực tối thiểu là sáu (06) tháng trước khi làm đơn xin gia hạn Giấy chứng nhận đủ điều kiện kinh doanh;</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Các hồ sơ quy định tại </w:t>
      </w:r>
      <w:bookmarkStart w:id="45" w:name="dc_50"/>
      <w:r w:rsidRPr="00B557A5">
        <w:rPr>
          <w:rFonts w:ascii="Times New Roman" w:eastAsia="Times New Roman" w:hAnsi="Times New Roman" w:cs="Times New Roman"/>
          <w:sz w:val="28"/>
          <w:szCs w:val="28"/>
        </w:rPr>
        <w:t>Khoản 2, 3, 4, 5, 6, 7, 8 và 10 Điều 20 Nghị định số 86/2013/NĐ-CP</w:t>
      </w:r>
      <w:bookmarkEnd w:id="45"/>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 Bản sao có chứng thực biên bản kết luận đáp ứng đủ các điều kiện kinh doanh của cơ quan kiểm tra đối với các đợt kiểm tra định kỳ theo quy định tại </w:t>
      </w:r>
      <w:bookmarkStart w:id="46" w:name="dc_51"/>
      <w:r w:rsidRPr="00B557A5">
        <w:rPr>
          <w:rFonts w:ascii="Times New Roman" w:eastAsia="Times New Roman" w:hAnsi="Times New Roman" w:cs="Times New Roman"/>
          <w:sz w:val="28"/>
          <w:szCs w:val="28"/>
        </w:rPr>
        <w:t>Khoản 3 Điều 33 Nghị định số 86/2013/NĐ-CP</w:t>
      </w:r>
      <w:bookmarkEnd w:id="46"/>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đ) Phương án kinh doanh, bao gồm các nội dung chủ yếu: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xml:space="preserve">- Tình hình kinh doanh trò chơi điện tử có thưởng trước thời điểm nộp hồ sơ đề nghị gia hạn Giấy chứng nhận đủ điều kiện kinh doanh, bao gồm: Số lượng máy trò chơi điện tử có thưởng tối đa được phép kinh doanh, thông tin về Điểm kinh doanh (vị trí, diện tích), số lượng, chủng loại máy, loại hình trò chơi điện tử có thưởng thực tế doanh nghiệp đang kinh doanh, kết quả kinh doanh trò chơi điện tử có thưởng của doanh nghiệp trong ba (03) năm gần nhất tới thời điểm nộp hồ sơ đề </w:t>
      </w:r>
      <w:r w:rsidRPr="00B557A5">
        <w:rPr>
          <w:rFonts w:ascii="Times New Roman" w:eastAsia="Times New Roman" w:hAnsi="Times New Roman" w:cs="Times New Roman"/>
          <w:sz w:val="28"/>
          <w:szCs w:val="28"/>
        </w:rPr>
        <w:lastRenderedPageBreak/>
        <w:t>nghị gia hạn Giấy chứng nhận đủ điều kiện kinh doanh (doanh thu, chi phí, lợi nhuận và các khoản nộp ngân sách nhà nước) và tình hình chấp hành các quy định của pháp luật liên quan đến kinh doanh trò chơi điện tử có thưởng trong thời gian kinh doanh;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Dự kiến kế hoạch kinh doanh trong thời gian tới, bao gồm: Số lượng, chủng loại máy, loại hình trò chơi điện tử có thưởng đề xuất được phép kinh doanh, dự kiến doanh thu, chi phí, lợi nhuận, dự kiến nhu cầu thu, chi ngoại tệ, giải pháp đảm bảo an ninh, trật tự, an toàn xã hội đối với Điểm kinh doanh, thời gian đề nghị gia hạn, kế hoạch triển khai thực hiện và cam kết của doanh nghiệp chấp hành các quy định của pháp luật liên quan đến kinh doanh trò chơi điện tử có thưởng trong thời gian tới.</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Quy trình thủ tục gia hạn Giấy chứng nhận đủ điều kiện kinh doanh thực hiện theo quy định tại </w:t>
      </w:r>
      <w:bookmarkStart w:id="47" w:name="dc_52"/>
      <w:r w:rsidRPr="00B557A5">
        <w:rPr>
          <w:rFonts w:ascii="Times New Roman" w:eastAsia="Times New Roman" w:hAnsi="Times New Roman" w:cs="Times New Roman"/>
          <w:sz w:val="28"/>
          <w:szCs w:val="28"/>
        </w:rPr>
        <w:t>Khoản 1, 2 và 3 Điều 21 Nghị định số 86/2013/NĐ-CP</w:t>
      </w:r>
      <w:bookmarkEnd w:id="47"/>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Bộ Tài chính chủ trì, phối hợp với các cơ quan có liên quan gồm: Bộ Kế hoạch và Đầu tư, Bộ Văn hóa, Thể thao và Du lịch, Bộ Công an, Ngân hàng Nhà nước Việt Nam và Ủy ban nhân dân tỉnh, thành phố trực thuộc Trung ương nơi doanh nghiệp tổ chức hoạt động kinh doanh trò chơi điện tử có thưởng thẩm định hồ sơ theo các nội dung phù hợp với các điều kiện quy định tại </w:t>
      </w:r>
      <w:bookmarkStart w:id="48" w:name="dc_53"/>
      <w:r w:rsidRPr="00B557A5">
        <w:rPr>
          <w:rFonts w:ascii="Times New Roman" w:eastAsia="Times New Roman" w:hAnsi="Times New Roman" w:cs="Times New Roman"/>
          <w:sz w:val="28"/>
          <w:szCs w:val="28"/>
        </w:rPr>
        <w:t>điểm b Khoản 3 Điều 23 Nghị định số 86/2013/NĐ-CP</w:t>
      </w:r>
      <w:bookmarkEnd w:id="48"/>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49" w:name="dieu_16"/>
      <w:r w:rsidRPr="00B557A5">
        <w:rPr>
          <w:rFonts w:ascii="Times New Roman" w:eastAsia="Times New Roman" w:hAnsi="Times New Roman" w:cs="Times New Roman"/>
          <w:b/>
          <w:bCs/>
          <w:sz w:val="28"/>
          <w:szCs w:val="28"/>
        </w:rPr>
        <w:t>Điều 16. Lệ phí cấp, cấp lại, điều chỉnh và gia hạn Giấy chứng nhận đủ điều kiện kinh doanh</w:t>
      </w:r>
      <w:bookmarkEnd w:id="49"/>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Lệ phí xin cấp, gia hạn Giấy chứng nhận đủ điều kiện kinh doanh của doanh nghiệp theo quy định tại Nghị định số 86/2013/NĐ-CP và Thông tư này là 150.000.000 đồng.</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Lệ phí xin cấp lại, điều chỉnh Giấy chứng nhận đủ điều kiện kinh doanh của doanh nghiệp theo quy định tại Nghị định số 86/2013/NĐ-CP và Thông tư này là 20.000.000 đồng.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Lệ phí cấp, cấp lại, điều chỉnh và gia hạn Giấy chứng nhận đủ điều kiện kinh doanh theo quy định tại Khoản 1 và Khoản 2 Điều này là khoản thu thuộc ngân sách nhà nước.</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Sau khi thẩm định doanh nghiệp đủ điều kiện được cấp, cấp lại, điều chỉnh và gia hạn Giấy chứng nhận đủ điều kiện kinh doanh theo quy định tại Điều 12, Điều 13, Điều 14 và Điều 15 Thông tư này, Bộ Tài chính thông báo cho doanh nghiệp nộp lệ phí theo quy định của pháp luật. Mẫu thông báo theo mẫu quy định tại Phụ lục số 06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xml:space="preserve">5. Sau khi nhận được thông báo của Bộ Tài chính, doanh nghiệp có trách nhiệm nộp lệ phí vào ngân sách nhà nước theo Mục lục Ngân sách nhà nước hiện hành tại Kho bạc Nhà nước và gửi 01 liên giấy nộp tiền vào ngân sách nhà nước đến Bộ Tài </w:t>
      </w:r>
      <w:r w:rsidRPr="00B557A5">
        <w:rPr>
          <w:rFonts w:ascii="Times New Roman" w:eastAsia="Times New Roman" w:hAnsi="Times New Roman" w:cs="Times New Roman"/>
          <w:sz w:val="28"/>
          <w:szCs w:val="28"/>
        </w:rPr>
        <w:lastRenderedPageBreak/>
        <w:t>chính. Doanh nghiệp chỉ được cấp, cấp lại, điều chỉnh và gia hạn Giấy chứng nhận đủ điều kiện kinh doanh sau khi đã nộp lệ phí vào ngân sách nhà nước.</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50" w:name="chuong_4"/>
      <w:r w:rsidRPr="00B557A5">
        <w:rPr>
          <w:rFonts w:ascii="Times New Roman" w:eastAsia="Times New Roman" w:hAnsi="Times New Roman" w:cs="Times New Roman"/>
          <w:b/>
          <w:bCs/>
          <w:sz w:val="28"/>
          <w:szCs w:val="28"/>
        </w:rPr>
        <w:t>Chương IV</w:t>
      </w:r>
      <w:bookmarkEnd w:id="50"/>
    </w:p>
    <w:p w:rsidR="00B557A5" w:rsidRPr="00B557A5" w:rsidRDefault="00B557A5" w:rsidP="00B557A5">
      <w:pPr>
        <w:shd w:val="clear" w:color="auto" w:fill="FFFFFF"/>
        <w:spacing w:after="0" w:line="234" w:lineRule="atLeast"/>
        <w:jc w:val="center"/>
        <w:rPr>
          <w:rFonts w:ascii="Times New Roman" w:eastAsia="Times New Roman" w:hAnsi="Times New Roman" w:cs="Times New Roman"/>
          <w:sz w:val="28"/>
          <w:szCs w:val="28"/>
        </w:rPr>
      </w:pPr>
      <w:bookmarkStart w:id="51" w:name="chuong_4_name"/>
      <w:r w:rsidRPr="00B557A5">
        <w:rPr>
          <w:rFonts w:ascii="Times New Roman" w:eastAsia="Times New Roman" w:hAnsi="Times New Roman" w:cs="Times New Roman"/>
          <w:b/>
          <w:bCs/>
          <w:sz w:val="28"/>
          <w:szCs w:val="28"/>
        </w:rPr>
        <w:t>QUẢN LÝ TÀI CHÍNH, CHẾ ĐỘ KẾ TOÁN, KIỂM TOÁN VÀ CHẾ ĐỘ BÁO CÁO</w:t>
      </w:r>
      <w:bookmarkEnd w:id="51"/>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52" w:name="dieu_17"/>
      <w:r w:rsidRPr="00B557A5">
        <w:rPr>
          <w:rFonts w:ascii="Times New Roman" w:eastAsia="Times New Roman" w:hAnsi="Times New Roman" w:cs="Times New Roman"/>
          <w:b/>
          <w:bCs/>
          <w:sz w:val="28"/>
          <w:szCs w:val="28"/>
        </w:rPr>
        <w:t>Điều 17. Nguyên tắc hạch toán và quản lý doanh thu, chi phí</w:t>
      </w:r>
      <w:bookmarkEnd w:id="52"/>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Doanh nghiệp kinh doanh trò chơi điện tử có thưởng phải thực hiện hạch toán riêng các khoản doanh thu, chi phí và lợi nhuận liên quan đến hoạt động kinh doanh trò chơi điện tử có thưởng và phải được theo dõi riêng các khoản mục này trên hệ thống sổ sách kế toán và báo cáo tài chính.</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Trường hợp các khoản doanh thu, chi phí liên quan đến hoạt động kinh doanh trò chơi điện tử có thưởng gắn với hoạt động kinh doanh khác của doanh nghiệp, doanh nghiệp thực hiện phân bổ các khoản doanh thu, chi phí này theo tỷ trọng trên tổng doanh thu, chi phí hoạt động kinh doanh chung của doanh nghiệp và phải đăng ký với cơ quan thuế trực tiếp quản lý.</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Doanh nghiệp có trách nhiệm hạch toán các khoản doanh thu, chi phí phù hợp với các chuẩn mực kế toán và hướng dẫn tại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Việc xác định doanh thu, chi phí để kê khai, tính nộp thuế đối với hoạt động kinh doanh trò chơi điện tử có thưởng được thực hiện theo quy định của pháp luật hiện hành về thuế và văn bản hướng dẫn thi hành.</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53" w:name="dieu_18"/>
      <w:r w:rsidRPr="00B557A5">
        <w:rPr>
          <w:rFonts w:ascii="Times New Roman" w:eastAsia="Times New Roman" w:hAnsi="Times New Roman" w:cs="Times New Roman"/>
          <w:b/>
          <w:bCs/>
          <w:sz w:val="28"/>
          <w:szCs w:val="28"/>
        </w:rPr>
        <w:t>Điều 18. Doanh thu</w:t>
      </w:r>
      <w:bookmarkEnd w:id="53"/>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Doanh thu hoạt động kinh doanh trò chơi điện tử có thưởng bao gồm: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Doanh thu từ hoạt động kinh doanh máy trò chơi điện tử có thưởng.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Doanh thu từ hoạt động tài chính và thu nhập khác từ hoạt động kinh doanh trò chơi điện tử có thưởng thực hiện theo quy định của chế độ kế toán hiện hành.</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54" w:name="dieu_19"/>
      <w:r w:rsidRPr="00B557A5">
        <w:rPr>
          <w:rFonts w:ascii="Times New Roman" w:eastAsia="Times New Roman" w:hAnsi="Times New Roman" w:cs="Times New Roman"/>
          <w:b/>
          <w:bCs/>
          <w:sz w:val="28"/>
          <w:szCs w:val="28"/>
        </w:rPr>
        <w:t>Điều 19. Chi phí</w:t>
      </w:r>
      <w:bookmarkEnd w:id="54"/>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Chi phí hoạt động kinh doanh trò chơi điện tử có thưởng là toàn bộ chi phí phục vụ cho hoạt động kinh doanh trò chơi điện tử có thưởng được xác định theo quy định của pháp luật về thuế, trong đó: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Chi phí trả thưởng là số tiền thực tế doanh nghiệp trả cho người chơi trúng thưởng khi tham gia chơi các trò chơi trên máy trò chơi điện tử có thưởng theo quy định tại Thể lệ trò chơi và quy định của pháp luật về thuế.</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Chi phí thuê quản lý thực hiện theo hợp đồng thuê quản lý nhưng phải đảm bảo tổng các loại chi phí liên quan đến thuê quản lý tối đa không được vượt quá 4% doanh thu hoạt động kinh doanh trò chơi điện tử có thưởng.</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3. Chi phí khuyến mại thực hiện theo quy định tại </w:t>
      </w:r>
      <w:bookmarkStart w:id="55" w:name="dc_54"/>
      <w:r w:rsidRPr="00B557A5">
        <w:rPr>
          <w:rFonts w:ascii="Times New Roman" w:eastAsia="Times New Roman" w:hAnsi="Times New Roman" w:cs="Times New Roman"/>
          <w:sz w:val="28"/>
          <w:szCs w:val="28"/>
        </w:rPr>
        <w:t>Khoản 3 Điều 28 Nghị định số 86/2013/NĐ-CP</w:t>
      </w:r>
      <w:bookmarkEnd w:id="55"/>
      <w:r w:rsidRPr="00B557A5">
        <w:rPr>
          <w:rFonts w:ascii="Times New Roman" w:eastAsia="Times New Roman" w:hAnsi="Times New Roman" w:cs="Times New Roman"/>
          <w:sz w:val="28"/>
          <w:szCs w:val="28"/>
        </w:rPr>
        <w: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56" w:name="dieu_20"/>
      <w:r w:rsidRPr="00B557A5">
        <w:rPr>
          <w:rFonts w:ascii="Times New Roman" w:eastAsia="Times New Roman" w:hAnsi="Times New Roman" w:cs="Times New Roman"/>
          <w:b/>
          <w:bCs/>
          <w:sz w:val="28"/>
          <w:szCs w:val="28"/>
        </w:rPr>
        <w:t>Điều 20. Giảm giá</w:t>
      </w:r>
      <w:bookmarkEnd w:id="56"/>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Việc giảm giá của doanh nghiệp kinh doanh trò chơi điện tử có thưởng theo quy định tại</w:t>
      </w:r>
      <w:bookmarkStart w:id="57" w:name="dc_55"/>
      <w:r w:rsidRPr="00B557A5">
        <w:rPr>
          <w:rFonts w:ascii="Times New Roman" w:eastAsia="Times New Roman" w:hAnsi="Times New Roman" w:cs="Times New Roman"/>
          <w:sz w:val="28"/>
          <w:szCs w:val="28"/>
        </w:rPr>
        <w:t>Điều 28 Nghị định số 86/2013/NĐ-CP</w:t>
      </w:r>
      <w:bookmarkEnd w:id="57"/>
      <w:r w:rsidRPr="00B557A5">
        <w:rPr>
          <w:rFonts w:ascii="Times New Roman" w:eastAsia="Times New Roman" w:hAnsi="Times New Roman" w:cs="Times New Roman"/>
          <w:sz w:val="28"/>
          <w:szCs w:val="28"/>
        </w:rPr>
        <w:t> được thực hiện như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Đối tượng được giảm giá: người chơi mua đồng tiền quy ước với giá trị tối thiểu là 50.000 đô la Mỹ (USD)/lần.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Doanh nghiệp được giảm trừ doanh thu tính thuế theo quy định pháp luật về thuế. Phương thức xác định thuế được giảm trừ thực hiện theo quy định của pháp luật về thuế.</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Doanh nghiệp phải đăng ký với cơ quan thuế trực tiếp quản lý về chính sách giảm giá.</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58" w:name="dieu_21"/>
      <w:r w:rsidRPr="00B557A5">
        <w:rPr>
          <w:rFonts w:ascii="Times New Roman" w:eastAsia="Times New Roman" w:hAnsi="Times New Roman" w:cs="Times New Roman"/>
          <w:b/>
          <w:bCs/>
          <w:sz w:val="28"/>
          <w:szCs w:val="28"/>
        </w:rPr>
        <w:t>Điều 21. Quản lý tiền mặt, đồng tiền quy ước tại kho quỹ, quầy thu ngân và tại các máy trò chơi điện tử có thưởng</w:t>
      </w:r>
      <w:bookmarkEnd w:id="58"/>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Doanh nghiệp phải xây dựng và ban hành quy định về quy chế quản lý tài chính, quy trình quản lý đồng tiền quy ước và tổ chức quản lý đảm bảo tách bạch giữa kho quỹ, quầy thu ngân và tại các máy trò chơi điện tử có thưởng.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Doanh nghiệp chỉ được phép đổi tiền mặt, đồng tiền quy ước cho người chơi trước khi chơi và đổi trả lại tiền mặt cho người chơi tại quầy thu ngân và phải lập Hóa đơn đổi tiền theo mẫu quy định tại Phụ lục số 09 ban hành kèm theo Thông tư này. Bộ phận thu ngân phải theo dõi cụ thể số lượng tiền, đồng tiền quy ước thực tế giao dịch trong kỳ.</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Doanh nghiệp phải bố trí các hòm (túi) chuyên dụng để đựng tiền mặt, đồng tiền quy ước. Các hòm (túi) này phải được niêm phong trước khi mang ra khỏi kho quỹ và ngay sau khi mang ra khỏi máy trò chơi điện tử có thưởng.</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Việc mở niêm phong các hòm (túi) và việc kiểm kê, tính toán giao dịch tại quầy thu ngân phải được thực hiện vào một thời gian nhất định theo quy định tại quy chế quản lý tài chính, quy trình quản lý đồng tiền quy ước của doanh nghiệp và phải được xác nhận theo các mẫu hóa đơn chứng từ gồm: Phiếu xuất đồng tiền quy ước, Phiếu nhập đồng tiền quy ước, Phiếu tổng hợp doanh thu, Phiếu kết toán thu ngân quy định tại Phụ lục số 07, 08, 10 và 11 ban hành kèm theo Thông tư này.</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59" w:name="dieu_22"/>
      <w:r w:rsidRPr="00B557A5">
        <w:rPr>
          <w:rFonts w:ascii="Times New Roman" w:eastAsia="Times New Roman" w:hAnsi="Times New Roman" w:cs="Times New Roman"/>
          <w:b/>
          <w:bCs/>
          <w:sz w:val="28"/>
          <w:szCs w:val="28"/>
        </w:rPr>
        <w:t>Điều 22. Chế độ kế toán, kiểm toán và công khai báo cáo tài chính</w:t>
      </w:r>
      <w:bookmarkEnd w:id="59"/>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Doanh nghiệp thực hiện chế độ kế toán theo quy định của Luật kế toán và các quy định pháp luật hiện hành về kế toán.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Báo cáo tài chính hàng năm của doanh nghiệp kinh doanh trò chơi điện tử có thưởng phải được kiểm toán bởi một tổ chức kiểm toán độc lập được phép hoạt động hợp pháp tại Việt Nam.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lastRenderedPageBreak/>
        <w:t>3. Trong thời hạn 90 ngày kể từ ngày kết thúc kỳ kế toán năm, doanh nghiệp kinh doanh trò chơi điện tử có thưởng phải công khai báo cáo tài chính theo quy định của pháp luật.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Doanh nghiệp thực hiện chế độ lưu trữ báo cáo tài chính theo quy định tại Luật kế toán. Riêng đối với các mẫu kê khai đặc thù theo quy định tại Thông tư này thì thời gian lưu trữ tối thiểu là ba (03) năm nhằm phục vụ công tác kiểm tra, thanh tra của cơ quan quản lý nhà nước.</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0" w:name="dieu_23"/>
      <w:r w:rsidRPr="00B557A5">
        <w:rPr>
          <w:rFonts w:ascii="Times New Roman" w:eastAsia="Times New Roman" w:hAnsi="Times New Roman" w:cs="Times New Roman"/>
          <w:b/>
          <w:bCs/>
          <w:sz w:val="28"/>
          <w:szCs w:val="28"/>
        </w:rPr>
        <w:t>Điều 23. Chế độ báo cáo</w:t>
      </w:r>
      <w:bookmarkEnd w:id="60"/>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Cuối kỳ kế toán (quý, năm), doanh nghiệp kinh doanh trò chơi điện tử có thưởng phải lập và gửi các báo cáo tài chính và báo cáo thống kê theo quy định của pháp luật. Người đại diện theo pháp luật của doanh nghiệp kinh doanh trò chơi điện tử có thưởng chịu trách nhiệm trước pháp luật về tính chính xác, trung thực của các báo cáo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Ngoài báo cáo tài chính được lập theo quy định của pháp luật nêu tại Khoản 1 Điều này, định kỳ hàng quý, kết thúc năm, doanh nghiệp kinh doanh trò chơi điện tử có thưởng phải lập và gửi các báo cáo sau:</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Báo cáo số lượng, chủng loại máy, loại hình trò chơi điện tử có thưởng theo mẫu quy định tại Phụ lục số 12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Báo cáo tình hình mua, sử dụng, tái xuất hoặc tiêu hủy thiết bị của máy trò chơi điện tử có thưởng theo mẫu quy định tại Phụ lục số 13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 Báo cáo tình hình hoạt động kinh doanh trò chơi điện tử có thưởng theo mẫu quy định tại Phụ lục số 14 ban hành kèm theo Thông tư này.</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3. Thời hạn và nơi gửi báo cáo:</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a) Các báo cáo tài chính được lập theo quy định của pháp luật nêu tại Khoản 1 Điều này gửi cho Bộ Tài chính, Sở Tài chính, Sở Văn hóa, Thể thao và Du lịch và Cục Thuế địa phương chậm nhất là mười lăm (15) ngày làm việc, kể từ ngày kết thúc kỳ kế toán năm;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b) Các báo cáo quy định tại Khoản 2 Điều này gửi cho Bộ Tài chính, Sở Tài chính, Sở Văn hóa, Thể thao và Du lịch và Cục Thuế địa phương chậm nhất là mười lăm (15) ngày làm việc, kể từ ngày kết thúc kỳ kế toán (quý, năm).</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4. Trường hợp Bộ Tài chính, Ủy ban nhân dân tỉnh, thành phố trực thuộc Trung ương có yêu cầu thực hiện báo cáo đột xuất, doanh nghiệp kinh doanh trò chơi điện tử có thưởng phải thực hiện việc lập và gửi báo cáo theo yêu cầu.</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1" w:name="chuong_5"/>
      <w:r w:rsidRPr="00B557A5">
        <w:rPr>
          <w:rFonts w:ascii="Times New Roman" w:eastAsia="Times New Roman" w:hAnsi="Times New Roman" w:cs="Times New Roman"/>
          <w:b/>
          <w:bCs/>
          <w:sz w:val="28"/>
          <w:szCs w:val="28"/>
        </w:rPr>
        <w:t>Chương V</w:t>
      </w:r>
      <w:bookmarkEnd w:id="61"/>
    </w:p>
    <w:p w:rsidR="00B557A5" w:rsidRPr="00B557A5" w:rsidRDefault="00B557A5" w:rsidP="00B557A5">
      <w:pPr>
        <w:shd w:val="clear" w:color="auto" w:fill="FFFFFF"/>
        <w:spacing w:after="0" w:line="234" w:lineRule="atLeast"/>
        <w:jc w:val="center"/>
        <w:rPr>
          <w:rFonts w:ascii="Times New Roman" w:eastAsia="Times New Roman" w:hAnsi="Times New Roman" w:cs="Times New Roman"/>
          <w:sz w:val="28"/>
          <w:szCs w:val="28"/>
        </w:rPr>
      </w:pPr>
      <w:bookmarkStart w:id="62" w:name="chuong_5_name"/>
      <w:r w:rsidRPr="00B557A5">
        <w:rPr>
          <w:rFonts w:ascii="Times New Roman" w:eastAsia="Times New Roman" w:hAnsi="Times New Roman" w:cs="Times New Roman"/>
          <w:b/>
          <w:bCs/>
          <w:sz w:val="28"/>
          <w:szCs w:val="28"/>
        </w:rPr>
        <w:t>TRÁCH NHIỆM CỦA CÁC TỔ CHỨC</w:t>
      </w:r>
      <w:bookmarkEnd w:id="62"/>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3" w:name="dieu_24"/>
      <w:r w:rsidRPr="00B557A5">
        <w:rPr>
          <w:rFonts w:ascii="Times New Roman" w:eastAsia="Times New Roman" w:hAnsi="Times New Roman" w:cs="Times New Roman"/>
          <w:b/>
          <w:bCs/>
          <w:sz w:val="28"/>
          <w:szCs w:val="28"/>
        </w:rPr>
        <w:lastRenderedPageBreak/>
        <w:t>Điều 24. Trách nhiệm của Ủy ban nhân dân tỉnh, thành phố trực thuộc Trung ương</w:t>
      </w:r>
      <w:bookmarkEnd w:id="63"/>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Chịu trách nhiệm quản lý, giám sát, kiểm tra và chỉ đạo các cơ quan có liên quan thuộc địa bàn quản lý triển khai công tác quản lý, giám sát, kiểm tra để đảm bảo việc hoạt động kinh doanh trò chơi điện tử có thưởng trên địa bàn tuân thủ đầy đủ, đúng các quy định tại Nghị định số 86/2013/NĐ-CP quy định tại Thông tư này và các quy định pháp luật có liên quan.</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4" w:name="dieu_25"/>
      <w:r w:rsidRPr="00B557A5">
        <w:rPr>
          <w:rFonts w:ascii="Times New Roman" w:eastAsia="Times New Roman" w:hAnsi="Times New Roman" w:cs="Times New Roman"/>
          <w:b/>
          <w:bCs/>
          <w:sz w:val="28"/>
          <w:szCs w:val="28"/>
        </w:rPr>
        <w:t>Điều 25. Trách nhiệm của Sở Tài chính</w:t>
      </w:r>
      <w:bookmarkEnd w:id="64"/>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Chịu trách nhiệm quản lý, giám sát, kiểm tra và chủ trì tham mưu giúp Ủy ban nhân dân tỉnh, thành phố trực thuộc Trung ương trong việc quản lý, giám sát, kiểm tra hoạt động kinh doanh trò chơi điện tử có thưởng trên địa bàn theo quy định tại Nghị định số 86/2013/NĐ-CP quy định tại Thông tư này và các quy định pháp luật có liên quan.</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5" w:name="dieu_26"/>
      <w:r w:rsidRPr="00B557A5">
        <w:rPr>
          <w:rFonts w:ascii="Times New Roman" w:eastAsia="Times New Roman" w:hAnsi="Times New Roman" w:cs="Times New Roman"/>
          <w:b/>
          <w:bCs/>
          <w:sz w:val="28"/>
          <w:szCs w:val="28"/>
        </w:rPr>
        <w:t>Điều 26. Trách nhiệm của Cục Thuế địa phương</w:t>
      </w:r>
      <w:bookmarkEnd w:id="65"/>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Phối hợp với Sở Tài chính và các cơ quan có liên quan trong việc quản lý, giám sát, kiểm tra hoạt động kinh doanh trò chơi điện tử có thưởng trên địa bàn theo quy định tại Nghị định số 86/2013/NĐ-CP quy định tại Thông tư này và các quy định pháp luật có liên quan.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Chịu trách nhiệm quản lý, kiểm tra, thanh tra về việc thực hiện nghĩa vụ nộp thuế, lệ phí đối với các doanh nghiệp kinh doanh trò chơi điện tử có thưởng theo quy định của pháp luật.</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6" w:name="dieu_27"/>
      <w:r w:rsidRPr="00B557A5">
        <w:rPr>
          <w:rFonts w:ascii="Times New Roman" w:eastAsia="Times New Roman" w:hAnsi="Times New Roman" w:cs="Times New Roman"/>
          <w:b/>
          <w:bCs/>
          <w:sz w:val="28"/>
          <w:szCs w:val="28"/>
        </w:rPr>
        <w:t>Điều 27. Trách nhiệm của nhà sản xuất, cung cấp máy trò chơi điện tử có thưởng và tổ chức kiểm định độc lập máy trò chơi điện tử có thưởng</w:t>
      </w:r>
      <w:bookmarkEnd w:id="66"/>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Doanh nghiệp sản xuất, cung cấp máy, thiết bị của máy trò chơi điện tử có thưởng và tổ chức kiểm định độc lập máy trò chơi điện tử có thưởng khi cung cấp máy, thiết bị của máy trò chơi điện tử có thưởng và dịch vụ kiểm định máy trò chơi điện tử có thưởng theo quy định tại Thông tư này có trách nhiệm tuân thủ quy định của pháp luật đối với hoạt động kinh doanh trò chơi điện tử có thưởng theo quy định tại Nghị định số 86/2013/NĐ-CP quy định tại Thông tư này và các quy định pháp luật có liên quan.</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7" w:name="dieu_28"/>
      <w:r w:rsidRPr="00B557A5">
        <w:rPr>
          <w:rFonts w:ascii="Times New Roman" w:eastAsia="Times New Roman" w:hAnsi="Times New Roman" w:cs="Times New Roman"/>
          <w:b/>
          <w:bCs/>
          <w:sz w:val="28"/>
          <w:szCs w:val="28"/>
        </w:rPr>
        <w:t>Điều 28. Trách nhiệm của các doanh nghiệp kinh doanh trò chơi điện tử có thưởng</w:t>
      </w:r>
      <w:bookmarkEnd w:id="67"/>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Tuân thủ quy định của pháp luật đối với hoạt động kinh doanh trò chơi điện tử có thưởng theo quy định tại Nghị định số 86/2013/NĐ-CP quy định tại Thông tư này và các quy định khác của pháp luật có liên quan.</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Chịu trách nhiệm xây dựng, ban hành các quy chế, quy trình quản lý nghiệp vụ của doanh nghiệp đảm bảo minh bạch, trung thực và tuân thủ quy định của pháp luật trong hoạt động kinh doanh trò chơi điện tử có thưởng.</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68" w:name="chuong_6"/>
      <w:r w:rsidRPr="00B557A5">
        <w:rPr>
          <w:rFonts w:ascii="Times New Roman" w:eastAsia="Times New Roman" w:hAnsi="Times New Roman" w:cs="Times New Roman"/>
          <w:b/>
          <w:bCs/>
          <w:sz w:val="28"/>
          <w:szCs w:val="28"/>
        </w:rPr>
        <w:t>Chương VI</w:t>
      </w:r>
      <w:bookmarkEnd w:id="68"/>
    </w:p>
    <w:p w:rsidR="00B557A5" w:rsidRPr="00B557A5" w:rsidRDefault="00B557A5" w:rsidP="00B557A5">
      <w:pPr>
        <w:shd w:val="clear" w:color="auto" w:fill="FFFFFF"/>
        <w:spacing w:after="0" w:line="234" w:lineRule="atLeast"/>
        <w:jc w:val="center"/>
        <w:rPr>
          <w:rFonts w:ascii="Times New Roman" w:eastAsia="Times New Roman" w:hAnsi="Times New Roman" w:cs="Times New Roman"/>
          <w:sz w:val="28"/>
          <w:szCs w:val="28"/>
        </w:rPr>
      </w:pPr>
      <w:bookmarkStart w:id="69" w:name="chuong_6_name"/>
      <w:r w:rsidRPr="00B557A5">
        <w:rPr>
          <w:rFonts w:ascii="Times New Roman" w:eastAsia="Times New Roman" w:hAnsi="Times New Roman" w:cs="Times New Roman"/>
          <w:b/>
          <w:bCs/>
          <w:sz w:val="28"/>
          <w:szCs w:val="28"/>
        </w:rPr>
        <w:lastRenderedPageBreak/>
        <w:t>TỔ CHỨC THỰC HIỆN</w:t>
      </w:r>
      <w:bookmarkEnd w:id="69"/>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70" w:name="dieu_29"/>
      <w:r w:rsidRPr="00B557A5">
        <w:rPr>
          <w:rFonts w:ascii="Times New Roman" w:eastAsia="Times New Roman" w:hAnsi="Times New Roman" w:cs="Times New Roman"/>
          <w:b/>
          <w:bCs/>
          <w:sz w:val="28"/>
          <w:szCs w:val="28"/>
        </w:rPr>
        <w:t>Điều 29. Quy định chuyển tiếp</w:t>
      </w:r>
      <w:bookmarkEnd w:id="70"/>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Các doanh nghiệp theo quy định tại </w:t>
      </w:r>
      <w:bookmarkStart w:id="71" w:name="dc_56"/>
      <w:r w:rsidRPr="00B557A5">
        <w:rPr>
          <w:rFonts w:ascii="Times New Roman" w:eastAsia="Times New Roman" w:hAnsi="Times New Roman" w:cs="Times New Roman"/>
          <w:sz w:val="28"/>
          <w:szCs w:val="28"/>
        </w:rPr>
        <w:t>Khoản 1 Điều 51 Nghị định số 86/2013/NĐ-CP</w:t>
      </w:r>
      <w:bookmarkEnd w:id="71"/>
      <w:r w:rsidRPr="00B557A5">
        <w:rPr>
          <w:rFonts w:ascii="Times New Roman" w:eastAsia="Times New Roman" w:hAnsi="Times New Roman" w:cs="Times New Roman"/>
          <w:sz w:val="28"/>
          <w:szCs w:val="28"/>
        </w:rPr>
        <w:t>được phép tiếp tục kinh doanh các máy trò chơi điện tử có thưởng đã mua và đang kinh doanh trước khi Thông tư này có hiệu lực thi hành cho đến khi thay thế các máy mới. Các máy trò chơi điện tử có thưởng mua kể từ ngày Thông tư này có hiệu lực thi hành phải đảm bảo tuân thủ theo quy định tại Điều 9 và Điều 10 Thông tư này.</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Trong thời hạn một (01) năm kể từ ngày Thông tư này có hiệu lực thi hành, các doanh nghiệp theo quy định tại </w:t>
      </w:r>
      <w:bookmarkStart w:id="72" w:name="dc_57"/>
      <w:r w:rsidRPr="00B557A5">
        <w:rPr>
          <w:rFonts w:ascii="Times New Roman" w:eastAsia="Times New Roman" w:hAnsi="Times New Roman" w:cs="Times New Roman"/>
          <w:sz w:val="28"/>
          <w:szCs w:val="28"/>
        </w:rPr>
        <w:t>Khoản 1 Điều 51 Nghị định số 86/2013/NĐ-CP</w:t>
      </w:r>
      <w:bookmarkEnd w:id="72"/>
      <w:r w:rsidRPr="00B557A5">
        <w:rPr>
          <w:rFonts w:ascii="Times New Roman" w:eastAsia="Times New Roman" w:hAnsi="Times New Roman" w:cs="Times New Roman"/>
          <w:sz w:val="28"/>
          <w:szCs w:val="28"/>
        </w:rPr>
        <w:t> phải điều chỉnh lại tỷ lệ trả thưởng của các máy trò chơi điện tử có thưởng hiện đang kinh doanh đảm bảo phù hợp với quy định tại điểm đ Khoản 3 Điều 10 Thông tư này và phải làm thủ tục kiểm định lại trước khi đưa máy vào sử dụng.</w:t>
      </w:r>
    </w:p>
    <w:p w:rsidR="00B557A5" w:rsidRPr="00B557A5" w:rsidRDefault="00B557A5" w:rsidP="00B557A5">
      <w:pPr>
        <w:shd w:val="clear" w:color="auto" w:fill="FFFFFF"/>
        <w:spacing w:after="0" w:line="234" w:lineRule="atLeast"/>
        <w:rPr>
          <w:rFonts w:ascii="Times New Roman" w:eastAsia="Times New Roman" w:hAnsi="Times New Roman" w:cs="Times New Roman"/>
          <w:sz w:val="28"/>
          <w:szCs w:val="28"/>
        </w:rPr>
      </w:pPr>
      <w:bookmarkStart w:id="73" w:name="dieu_30"/>
      <w:r w:rsidRPr="00B557A5">
        <w:rPr>
          <w:rFonts w:ascii="Times New Roman" w:eastAsia="Times New Roman" w:hAnsi="Times New Roman" w:cs="Times New Roman"/>
          <w:b/>
          <w:bCs/>
          <w:sz w:val="28"/>
          <w:szCs w:val="28"/>
        </w:rPr>
        <w:t>Điều 30. Tổ chức thực hiện</w:t>
      </w:r>
      <w:bookmarkEnd w:id="73"/>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1. Thông tư này có hiệu lực thi hành kể từ ngày 15 tháng 3 năm 2014.</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2. Trong quá trình thực hiện, nếu có khó khăn vướng mắc, đề nghị các tổ chức, cá nhân phản ánh về Bộ Tài chính để xem xét, giải quyết./.</w:t>
      </w:r>
    </w:p>
    <w:p w:rsidR="00B557A5" w:rsidRPr="00B557A5" w:rsidRDefault="00B557A5" w:rsidP="00B557A5">
      <w:pPr>
        <w:shd w:val="clear" w:color="auto" w:fill="FFFFFF"/>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855"/>
        <w:gridCol w:w="3645"/>
      </w:tblGrid>
      <w:tr w:rsidR="00B557A5" w:rsidRPr="00B557A5" w:rsidTr="00B557A5">
        <w:trPr>
          <w:tblCellSpacing w:w="0" w:type="dxa"/>
        </w:trPr>
        <w:tc>
          <w:tcPr>
            <w:tcW w:w="4608" w:type="dxa"/>
            <w:shd w:val="clear" w:color="auto" w:fill="FFFFFF"/>
            <w:tcMar>
              <w:top w:w="0" w:type="dxa"/>
              <w:left w:w="108" w:type="dxa"/>
              <w:bottom w:w="0" w:type="dxa"/>
              <w:right w:w="108" w:type="dxa"/>
            </w:tcMar>
            <w:hideMark/>
          </w:tcPr>
          <w:p w:rsidR="00B557A5" w:rsidRPr="00B557A5" w:rsidRDefault="00B557A5" w:rsidP="00B557A5">
            <w:pPr>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sz w:val="28"/>
                <w:szCs w:val="28"/>
              </w:rPr>
              <w:t> </w:t>
            </w:r>
          </w:p>
          <w:p w:rsidR="00B557A5" w:rsidRPr="00B557A5" w:rsidRDefault="00B557A5" w:rsidP="00B557A5">
            <w:pPr>
              <w:spacing w:after="120" w:line="234" w:lineRule="atLeast"/>
              <w:rPr>
                <w:rFonts w:ascii="Times New Roman" w:eastAsia="Times New Roman" w:hAnsi="Times New Roman" w:cs="Times New Roman"/>
                <w:sz w:val="28"/>
                <w:szCs w:val="28"/>
              </w:rPr>
            </w:pPr>
            <w:r w:rsidRPr="00B557A5">
              <w:rPr>
                <w:rFonts w:ascii="Times New Roman" w:eastAsia="Times New Roman" w:hAnsi="Times New Roman" w:cs="Times New Roman"/>
                <w:b/>
                <w:bCs/>
                <w:i/>
                <w:iCs/>
                <w:sz w:val="28"/>
                <w:szCs w:val="28"/>
              </w:rPr>
              <w:t>Nơi nhận:</w:t>
            </w:r>
            <w:r w:rsidRPr="00B557A5">
              <w:rPr>
                <w:rFonts w:ascii="Times New Roman" w:eastAsia="Times New Roman" w:hAnsi="Times New Roman" w:cs="Times New Roman"/>
                <w:b/>
                <w:bCs/>
                <w:i/>
                <w:iCs/>
                <w:sz w:val="28"/>
                <w:szCs w:val="28"/>
              </w:rPr>
              <w:br/>
            </w:r>
            <w:r w:rsidRPr="00B557A5">
              <w:rPr>
                <w:rFonts w:ascii="Times New Roman" w:eastAsia="Times New Roman" w:hAnsi="Times New Roman" w:cs="Times New Roman"/>
                <w:sz w:val="28"/>
                <w:szCs w:val="28"/>
              </w:rPr>
              <w:t>- Thủ tướng Chính phủ, các Phó TTCP;</w:t>
            </w:r>
            <w:r w:rsidRPr="00B557A5">
              <w:rPr>
                <w:rFonts w:ascii="Times New Roman" w:eastAsia="Times New Roman" w:hAnsi="Times New Roman" w:cs="Times New Roman"/>
                <w:sz w:val="28"/>
                <w:szCs w:val="28"/>
              </w:rPr>
              <w:br/>
              <w:t>- Văn phòng TW và các ban của Đảng;</w:t>
            </w:r>
            <w:r w:rsidRPr="00B557A5">
              <w:rPr>
                <w:rFonts w:ascii="Times New Roman" w:eastAsia="Times New Roman" w:hAnsi="Times New Roman" w:cs="Times New Roman"/>
                <w:sz w:val="28"/>
                <w:szCs w:val="28"/>
              </w:rPr>
              <w:br/>
              <w:t>- Văn phòng Tổng Bí thư;</w:t>
            </w:r>
            <w:r w:rsidRPr="00B557A5">
              <w:rPr>
                <w:rFonts w:ascii="Times New Roman" w:eastAsia="Times New Roman" w:hAnsi="Times New Roman" w:cs="Times New Roman"/>
                <w:sz w:val="28"/>
                <w:szCs w:val="28"/>
              </w:rPr>
              <w:br/>
              <w:t>- Văn phòng Chủ tịch nước;</w:t>
            </w:r>
            <w:r w:rsidRPr="00B557A5">
              <w:rPr>
                <w:rFonts w:ascii="Times New Roman" w:eastAsia="Times New Roman" w:hAnsi="Times New Roman" w:cs="Times New Roman"/>
                <w:sz w:val="28"/>
                <w:szCs w:val="28"/>
              </w:rPr>
              <w:br/>
              <w:t>- Văn phòng Quốc hội; </w:t>
            </w:r>
            <w:r w:rsidRPr="00B557A5">
              <w:rPr>
                <w:rFonts w:ascii="Times New Roman" w:eastAsia="Times New Roman" w:hAnsi="Times New Roman" w:cs="Times New Roman"/>
                <w:sz w:val="28"/>
                <w:szCs w:val="28"/>
              </w:rPr>
              <w:br/>
              <w:t>- Toà án nhân dân TC; </w:t>
            </w:r>
            <w:r w:rsidRPr="00B557A5">
              <w:rPr>
                <w:rFonts w:ascii="Times New Roman" w:eastAsia="Times New Roman" w:hAnsi="Times New Roman" w:cs="Times New Roman"/>
                <w:sz w:val="28"/>
                <w:szCs w:val="28"/>
              </w:rPr>
              <w:br/>
              <w:t>- Viện Kiểm sát nhân dân TC; </w:t>
            </w:r>
            <w:r w:rsidRPr="00B557A5">
              <w:rPr>
                <w:rFonts w:ascii="Times New Roman" w:eastAsia="Times New Roman" w:hAnsi="Times New Roman" w:cs="Times New Roman"/>
                <w:sz w:val="28"/>
                <w:szCs w:val="28"/>
              </w:rPr>
              <w:br/>
              <w:t>- Kiểm toán Nhà nước;</w:t>
            </w:r>
            <w:r w:rsidRPr="00B557A5">
              <w:rPr>
                <w:rFonts w:ascii="Times New Roman" w:eastAsia="Times New Roman" w:hAnsi="Times New Roman" w:cs="Times New Roman"/>
                <w:sz w:val="28"/>
                <w:szCs w:val="28"/>
              </w:rPr>
              <w:br/>
              <w:t>- Các Bộ, cơ quan ngang Bộ, cơ quan thuộc Chính phủ;</w:t>
            </w:r>
            <w:r w:rsidRPr="00B557A5">
              <w:rPr>
                <w:rFonts w:ascii="Times New Roman" w:eastAsia="Times New Roman" w:hAnsi="Times New Roman" w:cs="Times New Roman"/>
                <w:sz w:val="28"/>
                <w:szCs w:val="28"/>
              </w:rPr>
              <w:br/>
              <w:t>- HĐND, UBND các tỉnh, TP trực thuộc Trung ương;</w:t>
            </w:r>
            <w:r w:rsidRPr="00B557A5">
              <w:rPr>
                <w:rFonts w:ascii="Times New Roman" w:eastAsia="Times New Roman" w:hAnsi="Times New Roman" w:cs="Times New Roman"/>
                <w:sz w:val="28"/>
                <w:szCs w:val="28"/>
              </w:rPr>
              <w:br/>
              <w:t>- Sở Tài chính, Cục Thuế các tỉnh, TP trực thuộc Trung ương;</w:t>
            </w:r>
            <w:r w:rsidRPr="00B557A5">
              <w:rPr>
                <w:rFonts w:ascii="Times New Roman" w:eastAsia="Times New Roman" w:hAnsi="Times New Roman" w:cs="Times New Roman"/>
                <w:sz w:val="28"/>
                <w:szCs w:val="28"/>
              </w:rPr>
              <w:br/>
              <w:t>- Cục Kiểm tra văn bản (Bộ Tư pháp);</w:t>
            </w:r>
            <w:r w:rsidRPr="00B557A5">
              <w:rPr>
                <w:rFonts w:ascii="Times New Roman" w:eastAsia="Times New Roman" w:hAnsi="Times New Roman" w:cs="Times New Roman"/>
                <w:sz w:val="28"/>
                <w:szCs w:val="28"/>
              </w:rPr>
              <w:br/>
            </w:r>
            <w:r w:rsidRPr="00B557A5">
              <w:rPr>
                <w:rFonts w:ascii="Times New Roman" w:eastAsia="Times New Roman" w:hAnsi="Times New Roman" w:cs="Times New Roman"/>
                <w:sz w:val="28"/>
                <w:szCs w:val="28"/>
              </w:rPr>
              <w:lastRenderedPageBreak/>
              <w:t>- Công báo;</w:t>
            </w:r>
            <w:r w:rsidRPr="00B557A5">
              <w:rPr>
                <w:rFonts w:ascii="Times New Roman" w:eastAsia="Times New Roman" w:hAnsi="Times New Roman" w:cs="Times New Roman"/>
                <w:sz w:val="28"/>
                <w:szCs w:val="28"/>
              </w:rPr>
              <w:br/>
              <w:t>- Website Chính phủ;</w:t>
            </w:r>
            <w:r w:rsidRPr="00B557A5">
              <w:rPr>
                <w:rFonts w:ascii="Times New Roman" w:eastAsia="Times New Roman" w:hAnsi="Times New Roman" w:cs="Times New Roman"/>
                <w:sz w:val="28"/>
                <w:szCs w:val="28"/>
              </w:rPr>
              <w:br/>
              <w:t>- Website Bộ Tài chính;</w:t>
            </w:r>
            <w:r w:rsidRPr="00B557A5">
              <w:rPr>
                <w:rFonts w:ascii="Times New Roman" w:eastAsia="Times New Roman" w:hAnsi="Times New Roman" w:cs="Times New Roman"/>
                <w:sz w:val="28"/>
                <w:szCs w:val="28"/>
              </w:rPr>
              <w:br/>
              <w:t>- Các đơn vị thuộc Bộ Tài chính;</w:t>
            </w:r>
            <w:r w:rsidRPr="00B557A5">
              <w:rPr>
                <w:rFonts w:ascii="Times New Roman" w:eastAsia="Times New Roman" w:hAnsi="Times New Roman" w:cs="Times New Roman"/>
                <w:sz w:val="28"/>
                <w:szCs w:val="28"/>
              </w:rPr>
              <w:br/>
              <w:t>- Lưu: VT, TCNH. (PXS) (370b)</w:t>
            </w:r>
          </w:p>
        </w:tc>
        <w:tc>
          <w:tcPr>
            <w:tcW w:w="4248" w:type="dxa"/>
            <w:shd w:val="clear" w:color="auto" w:fill="FFFFFF"/>
            <w:tcMar>
              <w:top w:w="0" w:type="dxa"/>
              <w:left w:w="108" w:type="dxa"/>
              <w:bottom w:w="0" w:type="dxa"/>
              <w:right w:w="108" w:type="dxa"/>
            </w:tcMar>
            <w:hideMark/>
          </w:tcPr>
          <w:p w:rsidR="00B557A5" w:rsidRPr="00B557A5" w:rsidRDefault="00B557A5" w:rsidP="00B557A5">
            <w:pPr>
              <w:spacing w:after="120" w:line="234" w:lineRule="atLeast"/>
              <w:jc w:val="center"/>
              <w:rPr>
                <w:rFonts w:ascii="Times New Roman" w:eastAsia="Times New Roman" w:hAnsi="Times New Roman" w:cs="Times New Roman"/>
                <w:sz w:val="28"/>
                <w:szCs w:val="28"/>
              </w:rPr>
            </w:pPr>
            <w:r w:rsidRPr="00B557A5">
              <w:rPr>
                <w:rFonts w:ascii="Times New Roman" w:eastAsia="Times New Roman" w:hAnsi="Times New Roman" w:cs="Times New Roman"/>
                <w:b/>
                <w:bCs/>
                <w:sz w:val="28"/>
                <w:szCs w:val="28"/>
              </w:rPr>
              <w:lastRenderedPageBreak/>
              <w:t>KT. BỘ TRƯỞNG</w:t>
            </w:r>
            <w:r w:rsidRPr="00B557A5">
              <w:rPr>
                <w:rFonts w:ascii="Times New Roman" w:eastAsia="Times New Roman" w:hAnsi="Times New Roman" w:cs="Times New Roman"/>
                <w:b/>
                <w:bCs/>
                <w:sz w:val="28"/>
                <w:szCs w:val="28"/>
              </w:rPr>
              <w:br/>
              <w:t>THỨ TRƯỞNG</w:t>
            </w:r>
            <w:r w:rsidRPr="00B557A5">
              <w:rPr>
                <w:rFonts w:ascii="Times New Roman" w:eastAsia="Times New Roman" w:hAnsi="Times New Roman" w:cs="Times New Roman"/>
                <w:b/>
                <w:bCs/>
                <w:sz w:val="28"/>
                <w:szCs w:val="28"/>
              </w:rPr>
              <w:br/>
            </w:r>
            <w:r w:rsidRPr="00B557A5">
              <w:rPr>
                <w:rFonts w:ascii="Times New Roman" w:eastAsia="Times New Roman" w:hAnsi="Times New Roman" w:cs="Times New Roman"/>
                <w:b/>
                <w:bCs/>
                <w:sz w:val="28"/>
                <w:szCs w:val="28"/>
              </w:rPr>
              <w:br/>
            </w:r>
            <w:r w:rsidRPr="00B557A5">
              <w:rPr>
                <w:rFonts w:ascii="Times New Roman" w:eastAsia="Times New Roman" w:hAnsi="Times New Roman" w:cs="Times New Roman"/>
                <w:b/>
                <w:bCs/>
                <w:sz w:val="28"/>
                <w:szCs w:val="28"/>
              </w:rPr>
              <w:br/>
            </w:r>
            <w:r w:rsidRPr="00B557A5">
              <w:rPr>
                <w:rFonts w:ascii="Times New Roman" w:eastAsia="Times New Roman" w:hAnsi="Times New Roman" w:cs="Times New Roman"/>
                <w:b/>
                <w:bCs/>
                <w:sz w:val="28"/>
                <w:szCs w:val="28"/>
              </w:rPr>
              <w:br/>
            </w:r>
            <w:r w:rsidRPr="00B557A5">
              <w:rPr>
                <w:rFonts w:ascii="Times New Roman" w:eastAsia="Times New Roman" w:hAnsi="Times New Roman" w:cs="Times New Roman"/>
                <w:b/>
                <w:bCs/>
                <w:sz w:val="28"/>
                <w:szCs w:val="28"/>
              </w:rPr>
              <w:br/>
              <w:t>Nguyễn Công Nghiệp</w:t>
            </w:r>
          </w:p>
        </w:tc>
      </w:tr>
    </w:tbl>
    <w:p w:rsidR="003F3595" w:rsidRPr="00B557A5" w:rsidRDefault="003F3595">
      <w:pPr>
        <w:rPr>
          <w:rFonts w:ascii="Times New Roman" w:hAnsi="Times New Roman" w:cs="Times New Roman"/>
          <w:sz w:val="28"/>
          <w:szCs w:val="28"/>
        </w:rPr>
      </w:pPr>
    </w:p>
    <w:sectPr w:rsidR="003F3595" w:rsidRPr="00B5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A5"/>
    <w:rsid w:val="003F3595"/>
    <w:rsid w:val="00B5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5CDA9-08F1-457B-A17B-D0CD0853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57A5"/>
  </w:style>
  <w:style w:type="character" w:styleId="Hyperlink">
    <w:name w:val="Hyperlink"/>
    <w:basedOn w:val="DefaultParagraphFont"/>
    <w:uiPriority w:val="99"/>
    <w:semiHidden/>
    <w:unhideWhenUsed/>
    <w:rsid w:val="00B55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6047</Words>
  <Characters>34469</Characters>
  <Application>Microsoft Office Word</Application>
  <DocSecurity>0</DocSecurity>
  <Lines>287</Lines>
  <Paragraphs>80</Paragraphs>
  <ScaleCrop>false</ScaleCrop>
  <Company/>
  <LinksUpToDate>false</LinksUpToDate>
  <CharactersWithSpaces>40436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2016-03-15T03:52:00Z</dcterms:created>
  <dcterms:modified xsi:type="dcterms:W3CDTF">2016-03-15T04:01:00Z</dcterms:modified>
</cp:coreProperties>
</file>