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tblCellSpacing w:w="15" w:type="dxa"/>
        <w:tblCellMar>
          <w:top w:w="15" w:type="dxa"/>
          <w:left w:w="15" w:type="dxa"/>
          <w:bottom w:w="15" w:type="dxa"/>
          <w:right w:w="15" w:type="dxa"/>
        </w:tblCellMar>
        <w:tblLook w:val="04A0"/>
      </w:tblPr>
      <w:tblGrid>
        <w:gridCol w:w="3055"/>
      </w:tblGrid>
      <w:tr w:rsidR="0063154B" w:rsidRPr="0063154B" w:rsidTr="0063154B">
        <w:trPr>
          <w:tblCellSpacing w:w="15" w:type="dxa"/>
        </w:trPr>
        <w:tc>
          <w:tcPr>
            <w:tcW w:w="1100" w:type="pct"/>
            <w:hideMark/>
          </w:tcPr>
          <w:p w:rsidR="0063154B" w:rsidRPr="0063154B" w:rsidRDefault="0063154B" w:rsidP="0063154B">
            <w:pPr>
              <w:jc w:val="center"/>
            </w:pPr>
            <w:r w:rsidRPr="0063154B">
              <w:rPr>
                <w:b/>
                <w:bCs/>
              </w:rPr>
              <w:t>BỘ CÔNG THƯƠNG-BỘ TÀI CHÍNH</w:t>
            </w:r>
          </w:p>
          <w:p w:rsidR="0063154B" w:rsidRPr="0063154B" w:rsidRDefault="0063154B" w:rsidP="0063154B">
            <w:pPr>
              <w:jc w:val="center"/>
            </w:pPr>
            <w:r w:rsidRPr="0063154B">
              <w:t>Số: 39/2014/TTLT-BCT-BTC</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tblPr>
      <w:tblGrid>
        <w:gridCol w:w="4073"/>
      </w:tblGrid>
      <w:tr w:rsidR="0063154B" w:rsidRPr="0063154B" w:rsidTr="0063154B">
        <w:trPr>
          <w:tblCellSpacing w:w="15" w:type="dxa"/>
        </w:trPr>
        <w:tc>
          <w:tcPr>
            <w:tcW w:w="0" w:type="auto"/>
            <w:vAlign w:val="center"/>
            <w:hideMark/>
          </w:tcPr>
          <w:p w:rsidR="0063154B" w:rsidRPr="0063154B" w:rsidRDefault="0063154B" w:rsidP="0063154B">
            <w:pPr>
              <w:jc w:val="center"/>
            </w:pPr>
            <w:r w:rsidRPr="0063154B">
              <w:rPr>
                <w:b/>
                <w:bCs/>
              </w:rPr>
              <w:t>CỘNG HOÀ XÃ HỘI CHỦ NGHĨA VIỆT NAM</w:t>
            </w:r>
          </w:p>
          <w:p w:rsidR="0063154B" w:rsidRPr="0063154B" w:rsidRDefault="0063154B" w:rsidP="0063154B">
            <w:pPr>
              <w:jc w:val="center"/>
            </w:pPr>
            <w:r w:rsidRPr="0063154B">
              <w:rPr>
                <w:b/>
                <w:bCs/>
              </w:rPr>
              <w:t>Độc lập - Tự do - Hạnh phúc</w:t>
            </w:r>
          </w:p>
          <w:p w:rsidR="0063154B" w:rsidRPr="0063154B" w:rsidRDefault="0063154B" w:rsidP="0063154B">
            <w:pPr>
              <w:jc w:val="center"/>
            </w:pPr>
            <w:r w:rsidRPr="0063154B">
              <w:rPr>
                <w:i/>
                <w:iCs/>
              </w:rPr>
              <w:t>Hà Nội, ngày 29 tháng 10 năm 2014</w:t>
            </w:r>
          </w:p>
        </w:tc>
      </w:tr>
    </w:tbl>
    <w:p w:rsidR="0063154B" w:rsidRDefault="0063154B" w:rsidP="0063154B">
      <w:pPr>
        <w:pStyle w:val="NormalWeb"/>
        <w:ind w:right="-5"/>
        <w:jc w:val="center"/>
        <w:rPr>
          <w:rStyle w:val="Strong"/>
          <w:rFonts w:ascii="Times New Roman" w:hAnsi="Times New Roman"/>
          <w:sz w:val="24"/>
          <w:szCs w:val="24"/>
        </w:rPr>
      </w:pPr>
    </w:p>
    <w:p w:rsidR="0063154B" w:rsidRDefault="0063154B" w:rsidP="0063154B">
      <w:pPr>
        <w:pStyle w:val="NormalWeb"/>
        <w:ind w:right="-5"/>
        <w:jc w:val="center"/>
        <w:rPr>
          <w:rStyle w:val="Strong"/>
          <w:rFonts w:ascii="Times New Roman" w:hAnsi="Times New Roman"/>
          <w:sz w:val="24"/>
          <w:szCs w:val="24"/>
        </w:rPr>
      </w:pPr>
    </w:p>
    <w:p w:rsidR="0063154B" w:rsidRDefault="0063154B" w:rsidP="0063154B">
      <w:pPr>
        <w:pStyle w:val="NormalWeb"/>
        <w:ind w:right="-5"/>
        <w:jc w:val="center"/>
        <w:rPr>
          <w:rStyle w:val="Strong"/>
          <w:rFonts w:ascii="Times New Roman" w:hAnsi="Times New Roman"/>
          <w:sz w:val="24"/>
          <w:szCs w:val="24"/>
        </w:rPr>
      </w:pPr>
    </w:p>
    <w:p w:rsidR="0063154B" w:rsidRPr="0063154B" w:rsidRDefault="0063154B" w:rsidP="0063154B">
      <w:pPr>
        <w:pStyle w:val="NormalWeb"/>
        <w:ind w:right="-5"/>
        <w:jc w:val="center"/>
        <w:rPr>
          <w:rFonts w:ascii="Times New Roman" w:hAnsi="Times New Roman"/>
          <w:sz w:val="24"/>
          <w:szCs w:val="24"/>
        </w:rPr>
      </w:pPr>
      <w:r w:rsidRPr="0063154B">
        <w:rPr>
          <w:rStyle w:val="Strong"/>
          <w:rFonts w:ascii="Times New Roman" w:hAnsi="Times New Roman"/>
          <w:sz w:val="24"/>
          <w:szCs w:val="24"/>
        </w:rPr>
        <w:t>THÔNG TƯ LIÊN TỊCH</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Quy định về phương pháp tính giá cơ sở; cơ chế hình thành, quản lý, sử dụng Quỹ</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 xml:space="preserve">Bình ổn giá và điều hành giá xăng dầu theo quy định tại Nghị định số </w:t>
      </w:r>
      <w:hyperlink r:id="rId6" w:tgtFrame="_blank" w:history="1">
        <w:r w:rsidRPr="0063154B">
          <w:rPr>
            <w:rStyle w:val="Hyperlink"/>
            <w:rFonts w:ascii="Times New Roman" w:hAnsi="Times New Roman"/>
            <w:b/>
            <w:bCs/>
            <w:sz w:val="24"/>
            <w:szCs w:val="24"/>
          </w:rPr>
          <w:t>83/2014/NĐ-CP</w:t>
        </w:r>
      </w:hyperlink>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ngày 03 tháng 9 năm 2014 của Chính phủ về kinh doanh xăng dầu</w:t>
      </w:r>
    </w:p>
    <w:p w:rsidR="0063154B" w:rsidRPr="0063154B" w:rsidRDefault="0063154B" w:rsidP="0063154B">
      <w:pPr>
        <w:pStyle w:val="NormalWeb"/>
        <w:ind w:right="-5"/>
        <w:jc w:val="center"/>
        <w:rPr>
          <w:rFonts w:ascii="Times New Roman" w:hAnsi="Times New Roman"/>
          <w:sz w:val="24"/>
          <w:szCs w:val="24"/>
        </w:rPr>
      </w:pPr>
      <w:r w:rsidRPr="0063154B">
        <w:rPr>
          <w:rFonts w:ascii="Times New Roman" w:hAnsi="Times New Roman"/>
          <w:sz w:val="24"/>
          <w:szCs w:val="24"/>
        </w:rPr>
        <w:t>_____________________</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Luật Thương mại số </w:t>
      </w:r>
      <w:hyperlink r:id="rId7" w:tgtFrame="_blank" w:history="1">
        <w:r w:rsidRPr="0063154B">
          <w:rPr>
            <w:rStyle w:val="Hyperlink"/>
            <w:rFonts w:ascii="Times New Roman" w:hAnsi="Times New Roman"/>
            <w:i/>
            <w:iCs/>
            <w:sz w:val="24"/>
            <w:szCs w:val="24"/>
          </w:rPr>
          <w:t>36/2005/QH11</w:t>
        </w:r>
      </w:hyperlink>
      <w:r w:rsidRPr="0063154B">
        <w:rPr>
          <w:rStyle w:val="Emphasis"/>
          <w:rFonts w:ascii="Times New Roman" w:hAnsi="Times New Roman"/>
          <w:sz w:val="24"/>
          <w:szCs w:val="24"/>
        </w:rPr>
        <w:t xml:space="preserve"> ngày 14 tháng 6 năm 2005;</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cứ Luật Giá số </w:t>
      </w:r>
      <w:hyperlink r:id="rId8" w:tgtFrame="_blank" w:history="1">
        <w:r w:rsidRPr="0063154B">
          <w:rPr>
            <w:rStyle w:val="Hyperlink"/>
            <w:rFonts w:ascii="Times New Roman" w:hAnsi="Times New Roman"/>
            <w:i/>
            <w:iCs/>
            <w:sz w:val="24"/>
            <w:szCs w:val="24"/>
          </w:rPr>
          <w:t>11/2012/QH13</w:t>
        </w:r>
      </w:hyperlink>
      <w:r w:rsidRPr="0063154B">
        <w:rPr>
          <w:rStyle w:val="Emphasis"/>
          <w:rFonts w:ascii="Times New Roman" w:hAnsi="Times New Roman"/>
          <w:sz w:val="24"/>
          <w:szCs w:val="24"/>
        </w:rPr>
        <w:t xml:space="preserve"> ngày 20 tháng 6 năm 2012;</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Luật Kế toán số </w:t>
      </w:r>
      <w:hyperlink r:id="rId9" w:tgtFrame="_blank" w:history="1">
        <w:r w:rsidRPr="0063154B">
          <w:rPr>
            <w:rStyle w:val="Hyperlink"/>
            <w:rFonts w:ascii="Times New Roman" w:hAnsi="Times New Roman"/>
            <w:i/>
            <w:iCs/>
            <w:sz w:val="24"/>
            <w:szCs w:val="24"/>
          </w:rPr>
          <w:t>03/2003/QH11</w:t>
        </w:r>
      </w:hyperlink>
      <w:r w:rsidRPr="0063154B">
        <w:rPr>
          <w:rStyle w:val="Emphasis"/>
          <w:rFonts w:ascii="Times New Roman" w:hAnsi="Times New Roman"/>
          <w:sz w:val="24"/>
          <w:szCs w:val="24"/>
        </w:rPr>
        <w:t xml:space="preserve"> ngày 17 tháng 6 năm 2003;</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Nghị định số </w:t>
      </w:r>
      <w:hyperlink r:id="rId10" w:tgtFrame="_blank" w:history="1">
        <w:r w:rsidRPr="0063154B">
          <w:rPr>
            <w:rStyle w:val="Hyperlink"/>
            <w:rFonts w:ascii="Times New Roman" w:hAnsi="Times New Roman"/>
            <w:i/>
            <w:iCs/>
            <w:sz w:val="24"/>
            <w:szCs w:val="24"/>
          </w:rPr>
          <w:t>95/2012/NĐ-CP</w:t>
        </w:r>
      </w:hyperlink>
      <w:r w:rsidRPr="0063154B">
        <w:rPr>
          <w:rStyle w:val="Emphasis"/>
          <w:rFonts w:ascii="Times New Roman" w:hAnsi="Times New Roman"/>
          <w:sz w:val="24"/>
          <w:szCs w:val="24"/>
        </w:rPr>
        <w:t xml:space="preserve"> ngày 12 tháng 11 năm 2012 của Chính phủ quy định chức năng, nhiệm vụ, quyền hạn và cơ cấu tổ chức của Bộ Công Thương;</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Nghị định số </w:t>
      </w:r>
      <w:hyperlink r:id="rId11" w:tgtFrame="_blank" w:history="1">
        <w:r w:rsidRPr="0063154B">
          <w:rPr>
            <w:rStyle w:val="Hyperlink"/>
            <w:rFonts w:ascii="Times New Roman" w:hAnsi="Times New Roman"/>
            <w:i/>
            <w:iCs/>
            <w:sz w:val="24"/>
            <w:szCs w:val="24"/>
          </w:rPr>
          <w:t>215/2013/NĐ-CP</w:t>
        </w:r>
      </w:hyperlink>
      <w:r w:rsidRPr="0063154B">
        <w:rPr>
          <w:rStyle w:val="Emphasis"/>
          <w:rFonts w:ascii="Times New Roman" w:hAnsi="Times New Roman"/>
          <w:sz w:val="24"/>
          <w:szCs w:val="24"/>
        </w:rPr>
        <w:t xml:space="preserve"> ngày 23 tháng 12 năm 2013 của Chính phủ quy định chức năng, nhiệm vụ, quyền hạn và cơ cấu tổ chức của Bộ Tài chính;</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Nghị định số </w:t>
      </w:r>
      <w:hyperlink r:id="rId12" w:tgtFrame="_blank" w:history="1">
        <w:r w:rsidRPr="0063154B">
          <w:rPr>
            <w:rStyle w:val="Hyperlink"/>
            <w:rFonts w:ascii="Times New Roman" w:hAnsi="Times New Roman"/>
            <w:i/>
            <w:iCs/>
            <w:sz w:val="24"/>
            <w:szCs w:val="24"/>
          </w:rPr>
          <w:t>83/2014/NĐ-CP</w:t>
        </w:r>
      </w:hyperlink>
      <w:r w:rsidRPr="0063154B">
        <w:rPr>
          <w:rStyle w:val="Emphasis"/>
          <w:rFonts w:ascii="Times New Roman" w:hAnsi="Times New Roman"/>
          <w:sz w:val="24"/>
          <w:szCs w:val="24"/>
        </w:rPr>
        <w:t xml:space="preserve"> ngày 03 tháng 9 năm 2014 của Chính phủ về kinh doanh xăng dầu;</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Nghị định số </w:t>
      </w:r>
      <w:hyperlink r:id="rId13" w:tgtFrame="_blank" w:history="1">
        <w:r w:rsidRPr="0063154B">
          <w:rPr>
            <w:rStyle w:val="Hyperlink"/>
            <w:rFonts w:ascii="Times New Roman" w:hAnsi="Times New Roman"/>
            <w:i/>
            <w:iCs/>
            <w:sz w:val="24"/>
            <w:szCs w:val="24"/>
          </w:rPr>
          <w:t>177/2013/NĐ-CP</w:t>
        </w:r>
      </w:hyperlink>
      <w:r w:rsidRPr="0063154B">
        <w:rPr>
          <w:rStyle w:val="Emphasis"/>
          <w:rFonts w:ascii="Times New Roman" w:hAnsi="Times New Roman"/>
          <w:sz w:val="24"/>
          <w:szCs w:val="24"/>
        </w:rPr>
        <w:t xml:space="preserve"> ngày 14 tháng 11 năm 2013 của Chính phủ quy định chi tiết và hướng dẫn thi hành một số điều của Luật Giá;</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Căn cứ Nghị định số </w:t>
      </w:r>
      <w:hyperlink r:id="rId14" w:tgtFrame="_blank" w:history="1">
        <w:r w:rsidRPr="0063154B">
          <w:rPr>
            <w:rStyle w:val="Hyperlink"/>
            <w:rFonts w:ascii="Times New Roman" w:hAnsi="Times New Roman"/>
            <w:i/>
            <w:iCs/>
            <w:sz w:val="24"/>
            <w:szCs w:val="24"/>
          </w:rPr>
          <w:t>129/2004/NĐ-CP</w:t>
        </w:r>
      </w:hyperlink>
      <w:r w:rsidRPr="0063154B">
        <w:rPr>
          <w:rStyle w:val="Emphasis"/>
          <w:rFonts w:ascii="Times New Roman" w:hAnsi="Times New Roman"/>
          <w:sz w:val="24"/>
          <w:szCs w:val="24"/>
        </w:rPr>
        <w:t xml:space="preserve"> ngày 31 tháng 5 năm 2004 của Chính phủ quy định chi tiết và hướng dẫn thi hành một số điều của Luật Kế toán trong hoạt động kinh doanh;</w:t>
      </w:r>
    </w:p>
    <w:p w:rsidR="0063154B" w:rsidRPr="0063154B" w:rsidRDefault="0063154B" w:rsidP="0063154B">
      <w:pPr>
        <w:pStyle w:val="NormalWeb"/>
        <w:ind w:right="-5"/>
        <w:rPr>
          <w:rFonts w:ascii="Times New Roman" w:hAnsi="Times New Roman"/>
          <w:sz w:val="24"/>
          <w:szCs w:val="24"/>
        </w:rPr>
      </w:pPr>
      <w:r w:rsidRPr="0063154B">
        <w:rPr>
          <w:rStyle w:val="Emphasis"/>
          <w:rFonts w:ascii="Times New Roman" w:hAnsi="Times New Roman"/>
          <w:sz w:val="24"/>
          <w:szCs w:val="24"/>
        </w:rPr>
        <w:t xml:space="preserve">Bộ trưởng Bộ Công Thương, Bộ trưởng Bộ Tài chính ban hành Thông tư liên tịch quy định về phương pháp tính giá cơ sở; cơ chế hình thành, quản lý, sử dụng Quỹ Bình ổn giá và điều hành giá xăng dầu theo quy định tại Nghị định số </w:t>
      </w:r>
      <w:hyperlink r:id="rId15" w:tgtFrame="_blank" w:history="1">
        <w:r w:rsidRPr="0063154B">
          <w:rPr>
            <w:rStyle w:val="Hyperlink"/>
            <w:rFonts w:ascii="Times New Roman" w:hAnsi="Times New Roman"/>
            <w:i/>
            <w:iCs/>
            <w:sz w:val="24"/>
            <w:szCs w:val="24"/>
          </w:rPr>
          <w:t>83/2014/NĐ-CP</w:t>
        </w:r>
      </w:hyperlink>
      <w:r w:rsidRPr="0063154B">
        <w:rPr>
          <w:rStyle w:val="Emphasis"/>
          <w:rFonts w:ascii="Times New Roman" w:hAnsi="Times New Roman"/>
          <w:sz w:val="24"/>
          <w:szCs w:val="24"/>
        </w:rPr>
        <w:t xml:space="preserve"> ngày 03 tháng 9 năm 2014 của Chính phủ về kinh doanh xăng dầu:</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 xml:space="preserve">Chương </w:t>
      </w:r>
      <w:bookmarkStart w:id="0" w:name="Chuong_I"/>
      <w:bookmarkEnd w:id="0"/>
      <w:r w:rsidRPr="0063154B">
        <w:rPr>
          <w:rStyle w:val="Strong"/>
          <w:rFonts w:ascii="Times New Roman" w:hAnsi="Times New Roman"/>
          <w:sz w:val="24"/>
          <w:szCs w:val="24"/>
        </w:rPr>
        <w:t>I</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QUY ĐỊNH CHUNG</w:t>
      </w:r>
    </w:p>
    <w:p w:rsidR="0063154B" w:rsidRPr="0063154B" w:rsidRDefault="0063154B" w:rsidP="0063154B">
      <w:pPr>
        <w:pStyle w:val="NormalWeb"/>
        <w:ind w:right="-5"/>
        <w:jc w:val="center"/>
        <w:rPr>
          <w:rFonts w:ascii="Times New Roman" w:hAnsi="Times New Roman"/>
          <w:sz w:val="24"/>
          <w:szCs w:val="24"/>
        </w:rPr>
      </w:pPr>
      <w:r w:rsidRPr="0063154B">
        <w:rPr>
          <w:rStyle w:val="Strong"/>
          <w:rFonts w:ascii="Times New Roman" w:hAnsi="Times New Roman"/>
          <w:sz w:val="24"/>
          <w:szCs w:val="24"/>
        </w:rPr>
        <w:lastRenderedPageBreak/>
        <w:t xml:space="preserve">Điều </w:t>
      </w:r>
      <w:bookmarkStart w:id="1" w:name="Dieu_1"/>
      <w:bookmarkEnd w:id="1"/>
      <w:r w:rsidRPr="0063154B">
        <w:rPr>
          <w:rStyle w:val="Strong"/>
          <w:rFonts w:ascii="Times New Roman" w:hAnsi="Times New Roman"/>
          <w:sz w:val="24"/>
          <w:szCs w:val="24"/>
        </w:rPr>
        <w:t>1. Phạm vi điều chỉnh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Thông tư này quy định về phương pháp tính giá cơ sở; cơ chế hình thành, quản lý, sử dụng Quỹ Bình ổn giá và điều hành giá xăng dầu; kiểm tra và giám sát việc thực hiện các khoản chi phí kinh doanh, lợi nhuận định mức để tính giá cơ sở, việc thực hiện trích lập, mức sử dụng Quỹ Bình ổn giá xăng dầu (sau đây gọi tắt là Quỹ Bình ổn giá).</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2" w:name="Dieu_2"/>
      <w:bookmarkEnd w:id="2"/>
      <w:r w:rsidRPr="0063154B">
        <w:rPr>
          <w:rStyle w:val="Strong"/>
          <w:rFonts w:ascii="Times New Roman" w:hAnsi="Times New Roman"/>
          <w:sz w:val="24"/>
          <w:szCs w:val="24"/>
        </w:rPr>
        <w:t>2. Đối tượng áp dụng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1. Thông tư này áp dụng đối với các thương nhân đầu mối kinh doanh xăng dầu, thương nhân phân phối xăng dầu theo quy định của Nghị định số </w:t>
      </w:r>
      <w:hyperlink r:id="rId16" w:tgtFrame="_blank" w:history="1">
        <w:r w:rsidRPr="0063154B">
          <w:rPr>
            <w:rStyle w:val="Hyperlink"/>
            <w:rFonts w:ascii="Times New Roman" w:hAnsi="Times New Roman"/>
            <w:sz w:val="24"/>
            <w:szCs w:val="24"/>
          </w:rPr>
          <w:t>83/2014/NĐ-CP</w:t>
        </w:r>
      </w:hyperlink>
      <w:r w:rsidRPr="0063154B">
        <w:rPr>
          <w:rFonts w:ascii="Times New Roman" w:hAnsi="Times New Roman"/>
          <w:sz w:val="24"/>
          <w:szCs w:val="24"/>
        </w:rPr>
        <w:t xml:space="preserve"> ngày 03 tháng 9 năm 2014 của Chính phủ về kinh doanh xăng dầu và các văn bản pháp luật có liên quan.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Thông tư này không áp dụng đối với: thương nhân nhập khẩu, sản xuất và pha chế các loại xăng, dầu chuyên dùng cho nhu cầu riêng của mình, không bán ra thị trường theo quy định của pháp luật; thương nhân được phép nhập khẩu xăng, dầu vào trong nước theo quy định của Luật Đầu tư để làm hàng mẫu quảng cáo, dự hội chợ triển lãm, hoặc là hàng viện trợ hoàn lại và không hoàn lại; thương nhân sản xuất xăng, dầu bán xăng, dầu cho thương nhân nhập khẩu xăng, dầu; thương nhân đầu mối mua lại xăng, dầu thành phẩm của thương nhân đầu mối khác để cung ứng ra thị trường trong nước; thương nhân đầu mối có lượng xăng, dầu thành phẩm mua về làm nguyên liệu để sản xuất, pha chế thành xăng, dầu thành phẩm khác.</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3" w:name="Dieu_3"/>
      <w:bookmarkEnd w:id="3"/>
      <w:r w:rsidRPr="0063154B">
        <w:rPr>
          <w:rStyle w:val="Strong"/>
          <w:rFonts w:ascii="Times New Roman" w:hAnsi="Times New Roman"/>
          <w:sz w:val="24"/>
          <w:szCs w:val="24"/>
        </w:rPr>
        <w:t>3. Giải thích từ ngữ</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Trong Thông tư này, các từ ngữ dưới đây được hiểu như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w:t>
      </w:r>
      <w:r w:rsidRPr="0063154B">
        <w:rPr>
          <w:rStyle w:val="Emphasis"/>
          <w:rFonts w:ascii="Times New Roman" w:hAnsi="Times New Roman"/>
          <w:sz w:val="24"/>
          <w:szCs w:val="24"/>
        </w:rPr>
        <w:t xml:space="preserve"> Xăng dầu</w:t>
      </w:r>
      <w:r w:rsidRPr="0063154B">
        <w:rPr>
          <w:rFonts w:ascii="Times New Roman" w:hAnsi="Times New Roman"/>
          <w:sz w:val="24"/>
          <w:szCs w:val="24"/>
        </w:rPr>
        <w:t xml:space="preserve"> quy định trong Thông tư này là các loại xăng dầu thành phẩm bao gồm: các loại xăng, các loại dầu điêzen, dầu hoả, các loại dầu madút và các sản phẩm khác dùng làm nhiên liệu động cơ; không bao gồm: các loại khí hoá lỏng, nhiên liệu bay và khí nén thiên nhiên.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w:t>
      </w:r>
      <w:r w:rsidRPr="0063154B">
        <w:rPr>
          <w:rStyle w:val="Emphasis"/>
          <w:rFonts w:ascii="Times New Roman" w:hAnsi="Times New Roman"/>
          <w:sz w:val="24"/>
          <w:szCs w:val="24"/>
        </w:rPr>
        <w:t xml:space="preserve"> Giá xăng dầu thế giới</w:t>
      </w:r>
      <w:r w:rsidRPr="0063154B">
        <w:rPr>
          <w:rFonts w:ascii="Times New Roman" w:hAnsi="Times New Roman"/>
          <w:sz w:val="24"/>
          <w:szCs w:val="24"/>
        </w:rPr>
        <w:t xml:space="preserve"> được sử dụng làm căn cứ tính giá CIF trong giá cơ sở là giá xăng dầu thành phẩm được giao dịch thực tế trên thị trường Singapore và lấy theo mức giá giao dịch bình quân hàng ngày (MOP’s: Mean of Platt of Singapore) được công bố bởi Hãng tin Platt’s (sau đây gọi tắt là giá Platt Singapore).</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w:t>
      </w:r>
      <w:r w:rsidRPr="0063154B">
        <w:rPr>
          <w:rStyle w:val="Emphasis"/>
          <w:rFonts w:ascii="Times New Roman" w:hAnsi="Times New Roman"/>
          <w:sz w:val="24"/>
          <w:szCs w:val="24"/>
        </w:rPr>
        <w:t xml:space="preserve"> Giá bán lẻ xăng dầu</w:t>
      </w:r>
      <w:r w:rsidRPr="0063154B">
        <w:rPr>
          <w:rFonts w:ascii="Times New Roman" w:hAnsi="Times New Roman"/>
          <w:sz w:val="24"/>
          <w:szCs w:val="24"/>
        </w:rPr>
        <w:t xml:space="preserve"> là giá bán tại các cửa hàng bán lẻ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4. </w:t>
      </w:r>
      <w:r w:rsidRPr="0063154B">
        <w:rPr>
          <w:rStyle w:val="Emphasis"/>
          <w:rFonts w:ascii="Times New Roman" w:hAnsi="Times New Roman"/>
          <w:sz w:val="24"/>
          <w:szCs w:val="24"/>
        </w:rPr>
        <w:t>Giá cơ sở</w:t>
      </w:r>
      <w:r w:rsidRPr="0063154B">
        <w:rPr>
          <w:rFonts w:ascii="Times New Roman" w:hAnsi="Times New Roman"/>
          <w:sz w:val="24"/>
          <w:szCs w:val="24"/>
        </w:rPr>
        <w:t xml:space="preserve"> các mặt hàng xăng dầu tiêu dùng phổ biến trên thị trường là căn cứ để cơ quan quản lý nhà nước điều hành giá bán lẻ xăng dầu trong nước.</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5. </w:t>
      </w:r>
      <w:r w:rsidRPr="0063154B">
        <w:rPr>
          <w:rStyle w:val="Emphasis"/>
          <w:rFonts w:ascii="Times New Roman" w:hAnsi="Times New Roman"/>
          <w:sz w:val="24"/>
          <w:szCs w:val="24"/>
        </w:rPr>
        <w:t>Quỹ Bình ổn giá xăng dầu</w:t>
      </w:r>
      <w:r w:rsidRPr="0063154B">
        <w:rPr>
          <w:rFonts w:ascii="Times New Roman" w:hAnsi="Times New Roman"/>
          <w:sz w:val="24"/>
          <w:szCs w:val="24"/>
        </w:rPr>
        <w:t xml:space="preserve"> là Quỹ tài chính không nằm trong cân đối ngân sách nhà nước, là một yếu tố cấu thành giá cơ sở và chỉ được sử dụng để phục vụ mục tiêu ổn định thị trường, bình ổn giá xăng dầu trong nước theo quy định của pháp luật.</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 xml:space="preserve">Chương </w:t>
      </w:r>
      <w:bookmarkStart w:id="4" w:name="Chuong_II"/>
      <w:bookmarkEnd w:id="4"/>
      <w:r w:rsidRPr="0063154B">
        <w:rPr>
          <w:rStyle w:val="Strong"/>
          <w:rFonts w:ascii="Times New Roman" w:hAnsi="Times New Roman"/>
          <w:sz w:val="24"/>
          <w:szCs w:val="24"/>
        </w:rPr>
        <w:t>II</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PHƯƠNG PHÁP TÍNH GIÁ CƠ SỞ</w:t>
      </w:r>
    </w:p>
    <w:p w:rsidR="0063154B" w:rsidRPr="0063154B" w:rsidRDefault="0063154B" w:rsidP="0063154B">
      <w:pPr>
        <w:pStyle w:val="NormalWeb"/>
        <w:ind w:right="-5"/>
        <w:jc w:val="center"/>
        <w:rPr>
          <w:rFonts w:ascii="Times New Roman" w:hAnsi="Times New Roman"/>
          <w:sz w:val="24"/>
          <w:szCs w:val="24"/>
        </w:rPr>
      </w:pPr>
      <w:r w:rsidRPr="0063154B">
        <w:rPr>
          <w:rStyle w:val="Strong"/>
          <w:rFonts w:ascii="Times New Roman" w:hAnsi="Times New Roman"/>
          <w:sz w:val="24"/>
          <w:szCs w:val="24"/>
        </w:rPr>
        <w:lastRenderedPageBreak/>
        <w:t xml:space="preserve">Điều </w:t>
      </w:r>
      <w:bookmarkStart w:id="5" w:name="Dieu_4"/>
      <w:bookmarkEnd w:id="5"/>
      <w:r w:rsidRPr="0063154B">
        <w:rPr>
          <w:rStyle w:val="Strong"/>
          <w:rFonts w:ascii="Times New Roman" w:hAnsi="Times New Roman"/>
          <w:sz w:val="24"/>
          <w:szCs w:val="24"/>
        </w:rPr>
        <w:t>4. Giá cơ sở</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Giá cơ sở các mặt hàng xăng dầu bao gồm các yếu tố và được xác định bằng (=) {Giá CIF cộng (+) Thuế nhập khẩu cộng (+) Thuế tiêu thụ đặc biệt} nhân (x) Tỷ giá ngoại tệ cộng (+) Thuế giá trị gia tăng cộng (+) Chi phí kinh doanh định mức cộng (+) mức trích lập Quỹ Bình ổn giá cộng (+) Lợi nhuận định mức cộng (+) Thuế bảo vệ môi trường cộng (+) Các loại thuế, phí và các khoản trích nộp khác theo quy định của pháp luật hiện hành. Trong đó: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 Giá CIF được tính bằng (=) giá xăng dầu thế giới (giá Platt Singapore) cộng (+) các khoản chi phí để đưa xăng dầu từ nước ngoài về đến cảng Việt Nam. Các yếu tố này được xác định ở nhiệt độ thực tế. Trong đó, giá xăng dầu thế giới được được tính bình quân của 15 ngày sát với ngày tính giá của chu kỳ dự trữ xăng dầu bắt buộc quy định tại khoản 1 Điều 31 Nghị định số </w:t>
      </w:r>
      <w:hyperlink r:id="rId17"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Các khoản chi phí để đưa xăng dầu từ nước ngoài về đến cảng Việt Nam bao gồm: cộng (+) hoặc trừ (-) Premium cộng (+) phí bảo hiểm cộng (+) cước vận tải về đến cảng Việt Nam cộng (+) các khoản chi phí hợp lý, hợp lệ phát sinh trong khâu nhập khẩu (nếu có); trong đó phí bảo hiểm, cước vận tải về đến cảng Việt Nam được căn cứ theo mức trung bình tiên tiến phát sinh thực tế tại các thương nhân đầu mối.</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 Tỷ giá ngoại tệ để tính giá CIF là tỷ giá ngoại tệ bán ra cuối ngày của Ngân hàng Thương mại cổ phần Ngoại thương Việt Nam, tính bình quân của 15 ngày sát với ngày tính giá của chu kỳ dự trữ xăng dầu bắt buộc quy định tại khoản 1 Điều 31 Nghị định số </w:t>
      </w:r>
      <w:hyperlink r:id="rId18"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 Tỷ giá ngoại tệ tính thuế nhập khẩu và thuế tiêu thụ đặc biệt dùng để tính giá cơ sở là tỷ giá theo quy định của pháp luật về thuế, tính bình quân của 15 ngày sát với ngày tính giá của chu kỳ dự trữ xăng dầu bắt buộc quy định tại khoản 1 Điều 31 Nghị định số </w:t>
      </w:r>
      <w:hyperlink r:id="rId19"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Thuế nhập khẩu, thuế tiêu thụ đặc biệt, thuế giá trị gia tăng, thuế bảo vệ môi trường; các loại thuế, phí và các khoản trích nộp khác theo quy định của pháp luật.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Định kỳ hàng năm, thương nhân đầu mối có trách nhiệm rà soát biến động của các khoản chi phí để đưa xăng dầu từ nước ngoài về đến cảng Việt Nam và tổng hợp, báo cáo gửi về Bộ Tài chính (Cục Quản lý Giá), Bộ Công Thương (Vụ Thị trường trong nước) chậm nhất trước ngày 31 tháng 3 của năm tài chính kế tiếp.</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Trên cơ sở báo cáo của các thương nhân đầu mối, Bộ Tài chính (Cục Quản lý Giá) chủ trì, phối hợp với Bộ Công Thương (Vụ Thị trường trong nước) tổng hợp, đánh giá, kiểm tra, khảo sát thực tế (nếu cần thiết) để có điều chỉnh cho phù hợp.</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6" w:name="Dieu_5"/>
      <w:bookmarkEnd w:id="6"/>
      <w:r w:rsidRPr="0063154B">
        <w:rPr>
          <w:rStyle w:val="Strong"/>
          <w:rFonts w:ascii="Times New Roman" w:hAnsi="Times New Roman"/>
          <w:sz w:val="24"/>
          <w:szCs w:val="24"/>
        </w:rPr>
        <w:t>5. Chi phí kinh doanh xăng dầu định mức, lợi nhuận định mức để tính giá cơ sở</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Chi phí kinh doanh xăng dầu định mức:</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Chi phí kinh doanh xăng dầu định mức là chi phí lưu thông xăng dầu trong nước (chi phí bán buôn, chi phí bán lẻ ở nhiệt độ thực tế) của các thương nhân đầu mối (đã bao gồm chi phí dành cho thương nhân phân phối, thương nhân nhận quyền bán lẻ, tổng đại lý, đại lý xăng dầu) để tính giá cơ sở theo mức tối đa như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Chi phí kinh doanh bình quân định mức đối với các loại xăng là: 1.050 đồng/lít;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 Chi phí kinh doanh bình quân định mức đối với các loại dầu điêzen, dầu hỏa là: 950 đồng/lít;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Chi phí kinh doanh bình quân định mức đối với các loại dầu madút là: 600 đồng/kg.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Trong đó, các loại xăng, các loại dầu điêzen, dầu hỏa bao gồm chi phí bán buôn, bán lẻ; riêng các loại dầu madút là chi phí bán buôn.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Đối với các địa bàn xa cảng, xa kho đầu mối, xa cơ sở sản xuất xăng dầu có chi phí kinh doanh (bán buôn, bán lẻ) hợp lý, hợp lệ (được kiểm toán nhà nước hoặc kiểm toán độc lập kiểm toán) cao hơn mức quy định trên, thương nhân đầu mối cân đối, xem xét quyết định, tự chịu trách nhiệm về kết quả kinh doanh của mình; đồng thời, được quyết định giá bán thực tế tại địa bàn đó để bù đắp chi phí kinh doanh hợp lý, hợp lệ phát sinh, nhưng giá bán không vượt quá 2% giá cơ sở công bố tại cùng thời điểm;</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Hàng năm, thương nhân đầu mối có trách nhiệm kiểm toán riêng chuyên đề về chi phí kinh doanh và rà soát, tổng hợp, báo cáo Bộ Tài chính (Cục Quản lý Giá), Bộ Công Thương (Vụ Thị trường trong nước) chậm nhất trước ngày 31 tháng 3 của năm tài chính kế tiếp.</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Trong trường hợp cần thiết, Bộ Tài chính (Cục Quản lý giá), Bộ Công Thương (Vụ thị trường trong nước) yêu cầu thương nhân đầu mối báo cáo đột xuất.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Trên cơ sở báo cáo của các thương nhân đầu mối, Bộ Tài chính (Cục Quản lý Giá) chủ trì, phối hợp với Bộ Công Thương (Vụ Thị trường trong nước) tổng hợp, đánh giá, kiểm tra, khảo sát thực tế (nếu cần thiết) để có điều chỉnh cho phù hợp;</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Các chi phí kinh doanh định mức tối đa trên sẽ được Bộ Tài chính thông báo bằng văn bản để điều chỉnh phù hợp với thực tế kinh doanh của các thương nhân đầu mối trong từng thời kỳ.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Lợi nhuận định mức là lợi nhuận kinh doanh xăng dầu trong nước của các thương nhân đầu mối để tính giá cơ sở theo mức tối đa là 300 đồng/lít,kg ở nhiệt độ thực tế, sẽ được Bộ Tài chính thông báo bằng văn bản để điều chỉnh phù hợp với thực tế kinh doanh của các thương nhân đầu mối trong từng thời kỳ.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Lợi nhuận thực tế thu được trong kinh doanh phụ thuộc vào kết quả kinh doanh của các thương nhân đầu mối.</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 xml:space="preserve">Chương </w:t>
      </w:r>
      <w:bookmarkStart w:id="7" w:name="Chuong_III"/>
      <w:bookmarkEnd w:id="7"/>
      <w:r w:rsidRPr="0063154B">
        <w:rPr>
          <w:rStyle w:val="Strong"/>
          <w:rFonts w:ascii="Times New Roman" w:hAnsi="Times New Roman"/>
          <w:sz w:val="24"/>
          <w:szCs w:val="24"/>
        </w:rPr>
        <w:t>III</w:t>
      </w:r>
    </w:p>
    <w:p w:rsidR="0063154B" w:rsidRPr="0063154B" w:rsidRDefault="0063154B" w:rsidP="0063154B">
      <w:pPr>
        <w:pStyle w:val="NormalWeb"/>
        <w:jc w:val="center"/>
        <w:rPr>
          <w:rFonts w:ascii="Times New Roman" w:hAnsi="Times New Roman"/>
          <w:sz w:val="24"/>
          <w:szCs w:val="24"/>
        </w:rPr>
      </w:pPr>
      <w:r w:rsidRPr="0063154B">
        <w:rPr>
          <w:rStyle w:val="Strong"/>
          <w:rFonts w:ascii="Times New Roman" w:hAnsi="Times New Roman"/>
          <w:sz w:val="24"/>
          <w:szCs w:val="24"/>
        </w:rPr>
        <w:t>QUỸ BÌNH ỔN GIÁ XĂNG DẦU</w:t>
      </w:r>
    </w:p>
    <w:p w:rsidR="0063154B" w:rsidRPr="0063154B" w:rsidRDefault="0063154B" w:rsidP="0063154B">
      <w:pPr>
        <w:pStyle w:val="NormalWeb"/>
        <w:ind w:right="-5"/>
        <w:jc w:val="center"/>
        <w:rPr>
          <w:rFonts w:ascii="Times New Roman" w:hAnsi="Times New Roman"/>
          <w:sz w:val="24"/>
          <w:szCs w:val="24"/>
        </w:rPr>
      </w:pPr>
      <w:r w:rsidRPr="0063154B">
        <w:rPr>
          <w:rStyle w:val="Strong"/>
          <w:rFonts w:ascii="Times New Roman" w:hAnsi="Times New Roman"/>
          <w:sz w:val="24"/>
          <w:szCs w:val="24"/>
        </w:rPr>
        <w:t xml:space="preserve">Điều </w:t>
      </w:r>
      <w:bookmarkStart w:id="8" w:name="Dieu_6"/>
      <w:bookmarkEnd w:id="8"/>
      <w:r w:rsidRPr="0063154B">
        <w:rPr>
          <w:rStyle w:val="Strong"/>
          <w:rFonts w:ascii="Times New Roman" w:hAnsi="Times New Roman"/>
          <w:sz w:val="24"/>
          <w:szCs w:val="24"/>
        </w:rPr>
        <w:t>6. Cơ chế hình thành Quỹ Bình ổn giá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Các thương nhân đầu mối được quyền chủ động thực hiện các phương thức kinh doanh xăng dầu phù hợp với thông lệ quốc tế và các quy định của pháp luật, tự chịu trách nhiệm về hiệu quả sản xuất kinh doanh; trích lập Quỹ Bình ổn giá và chỉ sử dụng Quỹ Bình ổn giá cho mục đích ổn định thị trường, bình ổn giá xăng dầu nước theo quy định của pháp luật.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Quỹ Bình ổn giá được thương nhân đầu mối hạch toán và theo dõi riêng bằng một tài khoản tiền gửi tại một ngân hàng thương mại hoạt động hợp pháp tại Việt Nam nơi thương nhân đầu mối có giao dịch. Thương nhân đầu mối là chủ tài khoản, thực hiện các thủ tục liên quan để mở tài khoản, trích lập, thực </w:t>
      </w:r>
      <w:r w:rsidRPr="0063154B">
        <w:rPr>
          <w:rFonts w:ascii="Times New Roman" w:hAnsi="Times New Roman"/>
          <w:sz w:val="24"/>
          <w:szCs w:val="24"/>
        </w:rPr>
        <w:lastRenderedPageBreak/>
        <w:t xml:space="preserve">hiện các nghiệp vụ thu, chi từ tài khoản tiền gửi Quỹ Bình ổn giá; đồng thời, có trách nhiệm thông báo tên, địa chỉ, thông tin liên lạc của ngân hàng thương mại nơi thương nhân đầu mối mở tài khoản Quỹ Bình ổn giá đến Bộ Tài chính (Cục Quản lý Giá), Bộ Công Thương (Vụ Thị trường trong nước) và công bố thông tin theo quy định tại khoản 3 Điều 39 Nghị định số </w:t>
      </w:r>
      <w:hyperlink r:id="rId20"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2. Quỹ Bình ổn giá được trích lập thường xuyên, liên tục bằng một khoản tiền cụ thể, cố định trong giá cơ sở là 300 đồng/lít ở nhiệt độ thực tế đối với các loại xăng, các loại dầu điêzen, dầu hỏa và 300 đồng/kg đối với các loại dầu madút thực tế tiêu thụ theo quy định tại khoản 9 Điều 3 Nghị định số </w:t>
      </w:r>
      <w:hyperlink r:id="rId21"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Trong trường hợp cần thiết, Liên Bộ Công Thương - Tài chính sẽ điều chỉnh mức trích lập, thời điểm trích lập Quỹ Bình ổn giá cho phù hợp với biến động của thị trường và có thông báo bằng văn bản để các thương nhân đầu mối thực hiện.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 Liên Bộ Công Thương - Tài chính thông báo thời điểm điều chỉnh mức trích Quỹ Bình ổn giá để thương nhân đầu mối thực hiện trong các trường hợp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Điều chỉnh giảm mức trích Quỹ Bình ổn giá dưới mức quy định tại khoản 2 Điều này khi các yếu tố cấu thành biến động làm cho giá cơ sở tăng trên bảy phần trăm (&gt; 07%) so với giá cơ sở liền kề trước đó hoặc việc tăng giá xăng, dầu có tác động bất lợi đến phát triển kinh tế, xã hội và đời sống nhân dân;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Khi các yếu tố cấu thành biến động làm cho giá cơ sở giảm so với mức giá trước khi được điều chỉnh giảm quy định tại điểm a Khoản này, Liên Bộ Công Thương - Tài chính thông báo thời điểm và mức trích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4. Tổng mức trích lập Quỹ Bình ổn giá được xác định bằng mức trích quy định tại khoản 2, khoản 3 của Điều này nhân (x) với sản lượng xăng, dầu ở nhiệt độ thực tế đã tiêu thụ tại thị trường nội địa trong thời gian trích lập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Số dư Quỹ Bình ổn giá cuối kỳ bằng (=) Số dư Quỹ Bình ổn giá đầu kỳ cộng (+) tổng mức trích lập Quỹ Bình ổn giá trong kỳ trừ (-) tổng mức sử dụng Quỹ Bình ổn giá trong kỳ cộng (+) phần lãi tính trên số dư Quỹ Bình ổn giá dương phát sinh trong kỳ trừ (-) phần lãi tính trên số dư Quỹ Bình ổn giá âm phát sinh trong kỳ.</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9" w:name="Dieu_7"/>
      <w:bookmarkEnd w:id="9"/>
      <w:r w:rsidRPr="0063154B">
        <w:rPr>
          <w:rStyle w:val="Strong"/>
          <w:rFonts w:ascii="Times New Roman" w:hAnsi="Times New Roman"/>
          <w:sz w:val="24"/>
          <w:szCs w:val="24"/>
        </w:rPr>
        <w:t>7. Cơ chế sử dụng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Đối tượng được sử dụng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Các thương nhân đầu mối đã thực hiện việc trích lập Quỹ Bình ổn giá theo quy định được sử dụng Quỹ Bình ổn giá để thực hiện mục tiêu ổn định thị trường, bình ổn giá xăng, dầu theo quy định của Liên Bộ Công Thương -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Các thương nhân đầu mối khi không còn là thương nhân đầu mối xăng dầu theo quy định của pháp luật: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 Trường hợp sáp nhập, hợp nhất, mua lại, liên doanh, chia, tách doanh nghiệp: số dư Quỹ Bình ổn giá sẽ kết chuyển sang số dư của thương nhân đầu mối là doanh nghiệp nhận sáp nhập (trường hợp sáp nhập doanh nghiệp), doanh nghiệp mua lại (trong trường hợp mua lại doanh nghiệp) và doanh nghiệp mới </w:t>
      </w:r>
      <w:r w:rsidRPr="0063154B">
        <w:rPr>
          <w:rFonts w:ascii="Times New Roman" w:hAnsi="Times New Roman"/>
          <w:sz w:val="24"/>
          <w:szCs w:val="24"/>
        </w:rPr>
        <w:lastRenderedPageBreak/>
        <w:t>(trong trường hợp hợp nhất, liên doanh, chia, tách doanh nghiệp) theo quy định của pháp luật (kể cả trường hợp số dư Quỹ Bình ổn giá dương và số dư Quỹ Bình ổn giá âm). Liên Bộ Công Thương - Tài chính sẽ kiểm tra, rà soát và thông báo kết quả xử lý đối với từng trường hợp cụ thể.</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thương nhân đầu mối bị phá sản, giải thể, bị thu hồi Giấy phép kinh doanh xuất khẩu, nhập khẩu xăng dầu hoặc thương nhân đầu mối chủ động đăng ký không tiếp tục làm thương nhân kinh doanh xuất khẩu, nhập khẩu xăng dầu khi:</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Có số dư Quỹ Bình ổn giá phải nộp vào Ngân sách nhà nước;</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Quỹ Bình ổn giá bị âm do được sử dụng Quỹ Bình ổn giá để ổn định thị trường, bình ổn giá xăng, dầu trước khi không còn là đầu mối, Liên Bộ Công Thương - Tài chính sẽ kiểm tra, rà soát, báo cáo cấp có thẩm quyền xem xét và có biện pháp xử lý đối với từng trường hợp cụ thể, đồng thời thông báo kết quả xử lý đối với từng trường hợp cụ thể đó.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Phương thức sử dụng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Nghiêm cấm sử dụng Quỹ Bình ổn giá để cấp vốn kinh doanh hoặc cho các mục đích khác ngoài quy định tại khoản 1 Điều 6 Thông tư này;</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Quỹ Bình ổn giá được sử dụng trong các trường hợp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các yếu tố cấu thành biến động làm cho giá cơ sở kỳ công bố tăng trong phạm vi đến ba phần trăm (≤ 03%) so với giá cơ sở liền kề trước đó, nhưng việc tăng giá ảnh hưởng đến tình hình kinh tế - xã hội và đời sống nhân dân, Liên Bộ Công Thương - Tài chính xem xét sử dụng Quỹ Bình ổn giá để điều hành giá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các yếu tố cấu thành biến động làm cho giá cơ sở tăng vượt ba phần trăm (&gt; 03%) đến bốn phần trăm (≤ 04%) so với giá cơ sở liền kề trước đó, thương nhân đầu mối được quyền điều chỉnh giá bán tăng trong phạm vi đến ba phần trăm (≤ 03%) và được sử dụng Quỹ Bình ổn giá đối với phần tăng vượt ba phần trăm (&gt; 03%) đến bốn phần trăm (≤ 04%). Thương nhân đầu mối gửi văn bản kê khai giá, dự kiến mức điều chỉnh giá tới Liên Bộ Công Thương -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các yếu tố cấu thành biến động làm cho giá cơ sở tăng vượt bốn phần trăm (&gt; 04%) đến bảy phần trăm (≤ 07%) so với giá cơ sở liền kề trước đó, thương nhân đầu mối được quyền điều chỉnh giá bán tăng trong phạm vi đến ba phần trăm (≤ 03%) cộng (+) thêm năm mươi phần trăm (50%) của mức chênh lệch giá tính từ tỷ lệ giá cơ sở tăng vượt ba (&gt; 03%) đến tỷ lệ tăng thực tế trong phạm vi tăng vượt từ ba phần trăm (&gt; 03%) đến bảy phần trăm (≤ 07%); năm mươi phần trăm (50%) còn lại được bù đắp từ Quỹ Bình ổn giá. Thương nhân đầu mối gửi văn bản kê khai giá, dự kiến mức điều chỉnh giá tới Liên Bộ Công Thương -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Sử dụng Quỹ Bình ổn giá theo quy định tại điểm b Khoản này phù hợp với thời gian giữa hai (02) lần điều chỉnh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d) Trường hợp các yếu tố cấu thành biến động làm cho giá cơ sở tăng trên bảy phần trăm (&gt; 07%) so với giá cơ sở liền kề trước đó hoặc việc tăng giá xăng dầu có tác động bất lợi đến phát triển kinh tế, xã hội và đời sống của nhân dân, Bộ Công Thương chủ trì phối hợp Bộ Tài chính báo cáo Thủ tướng Chính phủ xem xét, chỉ đạo.</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3. Thương nhân đầu mối ngừng sử dụng Quỹ Bình ổn giá khi có thông báo bằng văn bản của Liên Bộ Công Thương -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4. Thủ tục, trình tự sử dụng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Trên cơ sở kê khai điều chỉnh giá của các thương nhân đầu mối phù hợp với các quy định của pháp luật về căn cứ, nguyên tắc, phương pháp, trình tự tính giá xăng, dầu; Tổ Liên ngành điều hành giá xăng dầu rà soát, đề xuất các giải pháp điều hành trong đó có giải pháp sử dụng hoặc không sử dụng hoặc ngừng sử dụng hoặc điều chỉnh mức (tỷ lệ) sử dụng Quỹ Bình ổn giá để Liên Bộ Công Thương - Tài chính quyết định;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Trường hợp các yếu tố cấu thành biến động làm cho giá cơ sở kỳ công bố tăng trong phạm vi đến ba phần trăm (≤ 03%) so với giá cơ sở liền kề trước đó, nhưng việc tăng giá ảnh hưởng đến tình hình kinh tế - xã hội và đời sống nhân dân, Liên Bộ Công Thương - Tài chính công bố sử dụng Quỹ Bình ổn giá cùng thời điểm công bố giá cơ sở;</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Trường hợp các yếu tố cấu thành biến động làm cho giá cơ sở kỳ công bố tăng vượt ba phần trăm (&gt; 03%) đến bảy phần trăm (≤ 07%) so với giá cơ sở liền kề trước đó, trong thời gian ba (03) ngày làm việc kể từ ngày nhận được văn bản kê khai giá, Liên Bộ Công Thương - Tài chính phải có văn bản trả lời thương nhân đầu mối về việc điều chỉnh mức giá và thông báo bằng văn bản về việc sử dụng Quỹ Bình ổn giá (nếu có) để các thương nhân đầu mối thực hiện.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Quá thời hạn ba (03) ngày làm việc kể từ ngày nhận được văn bản kê khai giá, Liên Bộ Công Thương - Tài chính không có văn bản trả lời về việc điều chỉnh giá của thương nhân đầu mối hoặc không có văn bản thông báo liên quan đến sử dụng Quỹ Bình ổn giá, thương nhân đầu mối được quyền điều chỉnh giá bán lẻ (riêng madút là giá bán buôn) nhưng không cao hơn mức giá cơ sở kỳ công bố và không được vượt quá bảy phần trăm (&gt; 07%) so với giá cơ sở liền kề trước đó;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d) Khi có thông báo của Liên Bộ Công Thương - Tài chính về thời điểm, mức sử dụng Quỹ bình ổn giá, thương nhân đầu mối chủ động trích trừ tài khoản tiền gửi Quỹ bình ổn giá và thực hiện hạch toán, quyết toán theo quy định tại Điều 8 Thông tư này.</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0" w:name="Dieu_8"/>
      <w:bookmarkEnd w:id="10"/>
      <w:r w:rsidRPr="0063154B">
        <w:rPr>
          <w:rStyle w:val="Strong"/>
          <w:rFonts w:ascii="Times New Roman" w:hAnsi="Times New Roman"/>
          <w:sz w:val="24"/>
          <w:szCs w:val="24"/>
        </w:rPr>
        <w:t>8. Hạch toán, quyết toán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Thương nhân đầu mối có trách nhiệm hạch toán đầy đủ, chính xác khoản trích lập Quỹ Bình ổn giá vào giá vốn hàng bán.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Quỹ Bình ổn giá được sử dụng theo quy định tại Điều 7 Thông tư này; khi sử dụng thương nhân đầu mối hạch toán giảm giá vốn hàng bán.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 Số dư tài khoản tiền gửi Quỹ Bình ổn giá được tính lãi suất theo mức lãi suất áp dụng cho tài khoản tiền gửi thanh toán của Ngân hàng thương mại nơi thương nhân đầu mối mở tài khoản tiền gửi Quỹ Bình ổn giá trong cùng thời kỳ. Phần lãi phát sinh trên tài khoản số dư Quỹ Bình ổn giá dương tại Ngân hàng thương mại được ghi tăng tài khoản Quỹ Bình ổn giá. Việc quản lý, điều hành tài khoản tiền gửi Quỹ Bình ổn giá và hạch toán, theo dõi các nghiệp vụ phát sinh liên quan phải được công khai, minh bạch.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4. Trường hợp thương nhân đầu mối sử dụng Quỹ Bình ổn giá theo thông báo của Liên Bộ Công Thương - Tài chính nhưng tại thời điểm đó số dư của tài khoản tiền gửi Quỹ Bình ổn giá không còn (số </w:t>
      </w:r>
      <w:r w:rsidRPr="0063154B">
        <w:rPr>
          <w:rFonts w:ascii="Times New Roman" w:hAnsi="Times New Roman"/>
          <w:sz w:val="24"/>
          <w:szCs w:val="24"/>
        </w:rPr>
        <w:lastRenderedPageBreak/>
        <w:t>dư tài khoản tiền gửi Quỹ Bình ổn giá tại ngân hàng thương mại bằng không (0)), thương nhân đầu mối được vay vốn để bù đắp và được tính lãi suất tối đa bằng mức lãi suất áp dụng cho tài khoản tiền gửi thanh toán của Ngân hàng thương mại nơi thương nhân đầu mối mở tài khoản tiền gửi Quỹ Bình ổn giá cho phần sử dụng vượt Quỹ Bình ổn giá (phần số dư Quỹ Bình ổn giá bị âm). Phần lãi phát sinh khi Quỹ Bình ổn giá âm (khoản thương nhân đầu mối phải vay vốn bổ sung khi Quỹ Bình ổn giá âm) được ghi giảm tài khoản Quỹ Bình ổn giá. Việc hoàn trả được thực hiện hàng tháng khi Quỹ Bình ổn có số dư dương và được quyết toán khi kết thúc năm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5. Kết thúc năm tài chính, Quỹ Bình ổn giá có kết dư, thương nhân đầu mối được phép kết chuyển sang năm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6. Chế độ hạch toán, báo cáo, công khai, minh bạch thông tin về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Đối với thương nhân đầu mối</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Định kỳ vào ngày 25 hàng tháng: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Thương nhân đầu mối phải công bố số dư đầu kỳ, số trích lập Quỹ Bình ổn giá, số sử dụng Quỹ Bình ổn giá, số dư Quỹ Bình ổn giá cuối kỳ của tháng liền kề trước đó. Đồng thời kết chuyển toàn bộ số trích lập Quỹ Bình ổn giá của tháng liền kề trước đó vào tài khoản tiền gửi Quỹ Bình ổn giá xăng dầu tại Ngân hàng thương mại nơi thương nhân mở tài khoản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Đồng thời, thương nhân đầu mối sẽ được bù đắp lại số tiền đã sử dụng Quỹ Bình ổn giá của tháng liền kề trước đó theo thông báo của Liên Bộ Công Thương - Tài chính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Thương nhân đầu mối có trách nhiệm gửi báo cáo đến Bộ Công Thương (Vụ Thị trường trong nước) và Bộ Tài chính (Cục Quản lý Giá) đầy đủ, chính xác các nội dung về Quỹ Bình ổn giá, cụ thể:</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dư Quỹ Bình ổn giá đầu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trích lập Quỹ Bình ổn giá trong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sử dụng Quỹ Bình ổn giá trong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Phần lãi phát sinh trên số dư Quỹ Bình ổn giá dương hoặc phần lãi phát sinh do Quỹ Bình ổn giá âm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dư Quỹ Bình ổn giá cuối kỳ.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ngày 25 hàng tháng vào ngày nghỉ hoặc ngày nghỉ lễ theo quy định, thương nhân đầu mối phải thực hiện trích lập, chuyển tiền vào ngày làm việc đầu tiên sau ngày 25;</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Đối với Ngân hàng thương mại nơi thương nhân đầu mối mở tài khoản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Định kỳ ngày mùng một (01) hàng tháng, Ngân hàng thương mại nơi thương nhân đầu mối mở tài khoản tiền gửi Quỹ Bình ổn giá phải gửi sao kê về các giao dịch phát sinh liên quan đến tài khoản tiền gửi Quỹ Bình ổn giá của thương nhân đầu mối trong tháng liền kề trước đó đến Bộ Công Thương (Vụ Thị trường trong nước) và Bộ Tài chính (Cục Quản lý Giá). Nội dung sao kê bao gồm:</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 Số dư Quỹ Bình ổn giá đầu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trích lập Quỹ Bình ổn giá trong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sử dụng Quỹ Bình ổn giá trong kỳ báo cáo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Phần lãi phát sinh trên số dư Quỹ Bình ổn giá dương hoặc phần lãi phát sinh do Quỹ Bình ổn giá âm (nếu có);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Số dư Quỹ Bình ổn giá trong kỳ.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Trường hợp ngày mùng một (01) hàng tháng vào ngày nghỉ hoặc ngày nghỉ lễ theo quy định, Ngân hàng thương mại nơi thương nhân đầu mối mở tài khoản tiền gửi Quỹ Bình ổn giá phải thực hiện gửi sao kê về các giao dịch phát sinh liên quan đến tài khoản tiền gửi Quỹ Bình ổn giá của thương nhân đầu mối vào ngày làm việc đầu tiên sau ngày mùng một (01);</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Kết thúc năm tài chính, thương nhân đầu mối và Ngân hàng thương mại nơi thương nhân mở tài khoản tiền gửi Quỹ Bình ổn giá có trách nhiệm tổng hợp báo cáo tình hình trích lập; sử dụng Quỹ bình ổn giá; bảng tính toán chi tiết số lãi tiền gửi đã hạch toán tăng Quỹ Bình ổn giá và số tiền lãi vay phát sinh hàng tháng do đã ứng vốn để bình ổn giá do Quỹ Bình ổn giá âm; số dư Quỹ Bình ổn giá cuối kỳ gửi Liên Bộ Tài chính - Công Thương để kiểm tra, giám sát.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Trong trường hợp cần thiết, Liên Bộ Công Thương - Tài chính yêu cầu thương nhân đầu mối, Ngân hàng thương mại nơi thương nhân đầu mối mở tài khoản tiền gửi Quỹ Bình ổn giá báo cáo đột xuất.</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1" w:name="Dieu_9"/>
      <w:bookmarkEnd w:id="11"/>
      <w:r w:rsidRPr="0063154B">
        <w:rPr>
          <w:rStyle w:val="Strong"/>
          <w:rFonts w:ascii="Times New Roman" w:hAnsi="Times New Roman"/>
          <w:sz w:val="24"/>
          <w:szCs w:val="24"/>
        </w:rPr>
        <w:t>9. Phương pháp kế toán và trình bày báo cáo tài chính đối với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Bổ sung Tài khoản 357 -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Tài khoản 357 được mở chi tiết cấp 2:</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Tài khoản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Nội dung của Tài khoản: Tài khoản 3571 dùng để phản ánh số hiện có, tình hình tăng, giảm Quỹ Bình ổn giá của thương nhân đầu mối. Hạch toán và phương pháp kế toán tài khoản này được thực hiện theo nguyên tắc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Kết cấu và nội dung phản ánh của tài khoản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Bên Nợ - Quỹ Bình ổn giá giảm do sử dụng theo quy định hiện hành của Nhà nước.</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Bên Có - Quỹ Bình ổn giá tăng do trích lập theo quy định hiện hành của Nhà nước.</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Số dư bên Có - Số tiền của Quỹ Bình ổn giá hiện còn tại thời điểm báo cáo.</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Số dư bên Nợ - Số tiền Quỹ Bình ổn giá chi vượt chưa được bù đắp tại thời điểm báo cáo.</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b) Tài khoản 3572 - Lãi phát sinh trên số dư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Nội dung của Tài khoản: Tài khoản 3572 dùng để phản ánh tổng số tiền lãi hiện có, tình hình tăng, giảm lãi Quỹ Bình ổn giá của thương nhân đầu mối. Việc kế toán tài khoản này được thực hiện theo nguyên tắc sau: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Kết cấu và nội dung phản ánh của tài khoản 3572 - Lãi phát sinh trên số dư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Bên Nợ - Tiền lãi vay phải trả khi Quỹ Bình ổn giá âm, thương nhân đầu mối tính theo quy định tại khoản 4 Điều 8.</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Bên Có - Tiền lãi nhận được khi Quỹ Bình ổn giá dương do Ngân hàng Thương mại trả lãi theo quy định tại khoản 4 Điều 8.</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Số dư bên Có - Số tiền lãi của Quỹ Bình ổn giá hiện còn tại thời điểm báo cáo.</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Số dư bên Nợ - Số tiền lãi vay còn phải hoàn do Quỹ Bình ổn giá âm tại thời điểm báo cáo.</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Thương nhân đầu mối phải mở riêng một tài khoản tiền gửi Quỹ Bình ổn giá tại một Ngân hàng thương mại để theo dõi biến động dòng tiền trích lập, sử dụng Quỹ Bình ổn giá và tiền lãi phát sinh khi Quỹ Bình ổn giá dương hoặc âm.</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 Phương pháp kế toán trích lập và sử dụng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Định kỳ hàng tháng, căn cứ bảng trích lập Quỹ Bình ổn giá,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632 - Giá vốn hàng bán: Số tiền phải trích lập Quỹ Bình ổn giá trong tháng theo quy định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Đồng thời, vào ngày 25 hàng tháng, căn cứ bảng trích lập Quỹ Bình ổn giá của tháng trước liền kề, thương nhân đầu mối lập Ủy nhiệm chi chuyển tiền từ tài khoản tiền gửi thanh toán sang tài khoản tiền gửi Quỹ Bình ổn giá,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1121 - Tiền gửi Ngân hàng - Chi tiết tiền gửi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1121 - Tiền gửi Ngân hàng - Chi tiết tiền gửi thanh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Định kỳ hàng tháng, căn cứ bảng tính sử dụng Quỹ Bình ổn giá xăng dầu theo thông báo của Liên Bộ Công Thương - Tài chính,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632 - Giá vốn hàng bán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Đồng thời, vào ngày 25 hàng tháng, căn cứ bảng tính sử dụng Quỹ Bình ổn giá của tháng trước liền kề, thương nhân đầu mối lập Ủy nhiệm chi chuyển tiền từ Tài khoản tiền gửi Quỹ Bình ổn giá sang tài khoản tiền gửi thanh toán,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1121 - Tiền gửi Ngân hàng - Chi tiết tiền gửi thanh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1121 - Tiền gửi Ngân hàng - Chi tiết tiền gửi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Trường hợp ngày 25 hàng tháng vào ngày nghỉ hoặc nghỉ lễ theo quy định, thương nhân đầu mối phải thực hiện trích lập, chuyển tiền vào ngày làm việc đầu tiên sau ngày 25.</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d) Định kỳ hàng tháng nếu tài khoản tiền gửi Quỹ Bình ổn giá có số dư dương và phát sinh lãi tiền gửi, căn cứ báo có của Ngân hàng thương mại,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1121 - Tiền gửi ngân hàng - Chi tiết tiền gửi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3572 - Lãi phát sinh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đ) Căn cứ báo nợ của Ngân hàng thương mại về lãi vay phát sinh trong tháng, bảng kê tính lãi phát sinh phải trả do Quỹ Bình ổn giá âm theo mức lãi suất tối đa bằng mức lãi suất áp dụng cho tài khoản tiền gửi thanh toán của Ngân hàng thương mại cho phần sử dụng Quỹ Bình ổn giá âm,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3572 - Lãi phát sinh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1121 - Tiền gửi ngân hàng - Chi tiết tiền gửi thanh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e) Trường hợp cuối năm, thương nhân đầu mối được sử dụng Quỹ Bình ổn giá để bù lãi phát sinh do Quỹ Bình ổn giá âm (nếu có), thương nhân đầu mối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3572 - Lãi phát sinh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Hoặc: kết chuyển số dư lãi Quỹ Bình ổn giá sang tài khoản Quỹ Bình ổn giá, hạch toán: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Nợ TK 3572 - Lãi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Có TK 3571 - Quỹ Bình ổn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4. Trình bày Báo cáo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Bổ sung chỉ tiêu “Quỹ Bình ổn giá” - Mã số 340 trên Bảng Cân đối kế toán. Chỉ tiêu này phản ánh Quỹ Bình ổn giá xăng dầu tại thời điểm báo cáo. Số liệu để ghi vào chỉ tiêu này là số dư Có của Tài khoản 357 “Quỹ Bình ổn giá xăng dầu” được tính trên cơ sở bù trừ số dư của hai tài khoản kế toán TK 3571 và TK 3572.</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Khi phân tích báo cáo tài chính, thương nhân đầu mối được loại trừ khoản tiền trên tài khoản tiền gửi Quỹ Bình ổn giá và số dư tài khoản “Quỹ Bình ổn giá” trên báo cáo tài chính để phân tích, đánh giá các chỉ tiêu tài chính.</w:t>
      </w:r>
    </w:p>
    <w:p w:rsidR="0063154B" w:rsidRPr="0063154B" w:rsidRDefault="0063154B" w:rsidP="0063154B">
      <w:pPr>
        <w:pStyle w:val="NormalWeb"/>
        <w:rPr>
          <w:rFonts w:ascii="Times New Roman" w:hAnsi="Times New Roman"/>
          <w:sz w:val="24"/>
          <w:szCs w:val="24"/>
        </w:rPr>
      </w:pPr>
      <w:r w:rsidRPr="0063154B">
        <w:rPr>
          <w:rStyle w:val="Strong"/>
          <w:rFonts w:ascii="Times New Roman" w:hAnsi="Times New Roman"/>
          <w:sz w:val="24"/>
          <w:szCs w:val="24"/>
        </w:rPr>
        <w:t xml:space="preserve">Chương </w:t>
      </w:r>
      <w:bookmarkStart w:id="12" w:name="Chuong_IV"/>
      <w:bookmarkEnd w:id="12"/>
      <w:r w:rsidRPr="0063154B">
        <w:rPr>
          <w:rStyle w:val="Strong"/>
          <w:rFonts w:ascii="Times New Roman" w:hAnsi="Times New Roman"/>
          <w:sz w:val="24"/>
          <w:szCs w:val="24"/>
        </w:rPr>
        <w:t>IV</w:t>
      </w:r>
    </w:p>
    <w:p w:rsidR="0063154B" w:rsidRPr="0063154B" w:rsidRDefault="0063154B" w:rsidP="0063154B">
      <w:pPr>
        <w:pStyle w:val="NormalWeb"/>
        <w:rPr>
          <w:rFonts w:ascii="Times New Roman" w:hAnsi="Times New Roman"/>
          <w:sz w:val="24"/>
          <w:szCs w:val="24"/>
        </w:rPr>
      </w:pPr>
      <w:r w:rsidRPr="0063154B">
        <w:rPr>
          <w:rStyle w:val="Strong"/>
          <w:rFonts w:ascii="Times New Roman" w:hAnsi="Times New Roman"/>
          <w:sz w:val="24"/>
          <w:szCs w:val="24"/>
        </w:rPr>
        <w:t>ĐIỀU HÀNH GIÁ XĂNG DẦU</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3" w:name="Dieu_10"/>
      <w:bookmarkEnd w:id="13"/>
      <w:r w:rsidRPr="0063154B">
        <w:rPr>
          <w:rStyle w:val="Strong"/>
          <w:rFonts w:ascii="Times New Roman" w:hAnsi="Times New Roman"/>
          <w:sz w:val="24"/>
          <w:szCs w:val="24"/>
        </w:rPr>
        <w:t>10. Thành lập Tổ Liên ngành điều hành giá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Bộ Công Thương chủ trì, phối hợp Bộ Tài chính ban hành Quyết định thành lập Tổ Liên ngành điều hành giá xăng dầu (sau đây gọi tắt là Tổ Liên ngành), phân công nhiệm vụ cho các thành viên, quy chế làm việc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Thành viên Tổ Liên ngành gồm: Tổ trưởng là Vụ trưởng Vụ Thị trường trong nước, Bộ Công Thương; Phó Tổ trưởng là Cục trưởng Cục Quản lý Giá, Bộ Tài chính; Phó Tổ trưởng thường trực là Phó Vụ trưởng Vụ Thị trường trong nước, Bộ Công Thương; một số thành viên khác có liên quan thuộc Bộ Công Thương, Bộ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Tổ Liên ngành điều hành giá xăng dầu được đặt tại Vụ Thị trường trong nước (Bộ Công Thương).</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4" w:name="Dieu_11"/>
      <w:bookmarkEnd w:id="14"/>
      <w:r w:rsidRPr="0063154B">
        <w:rPr>
          <w:rStyle w:val="Strong"/>
          <w:rFonts w:ascii="Times New Roman" w:hAnsi="Times New Roman"/>
          <w:sz w:val="24"/>
          <w:szCs w:val="24"/>
        </w:rPr>
        <w:t>11. Nhiệm vụ, quyền hạn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Nhiệm vụ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Tham mưu với Lãnh đạo Liên Bộ Công Thương - Tài chính điều hành giá xăng dầu theo quy định của pháp luật và phù hợp tình hình kinh tế - xã hội, giá xăng dầu thế giới trong từng thời kỳ;</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b) Tính toán, công bố trên trang Thông tin điện tử của Bộ Công Thương, Bộ Tài chính về giá cơ sở, chênh lệch giá cơ sở kỳ công bố so với kỳ liền kề trước đó theo định kỳ bình quân 15 ngày/lần, bắt đầu từ ngày 01 tháng 11 năm 2014 và theo quy định tại khoản 9 Điều 3 Nghị định số </w:t>
      </w:r>
      <w:hyperlink r:id="rId22"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c) Tiếp nhận văn bản kê khai giá, dự kiến mức điều chỉnh giá, văn bản đăng ký giá, quyết định điều chỉnh giá của thương nhân đầu mối, thương nhân phân phối xăng dầu, tùy từng trường hợp quy định tại Điều 38 Nghị định số </w:t>
      </w:r>
      <w:hyperlink r:id="rId23" w:tgtFrame="_blank" w:history="1">
        <w:r w:rsidRPr="0063154B">
          <w:rPr>
            <w:rStyle w:val="Hyperlink"/>
            <w:rFonts w:ascii="Times New Roman" w:hAnsi="Times New Roman"/>
            <w:sz w:val="24"/>
            <w:szCs w:val="24"/>
          </w:rPr>
          <w:t>83/2014/NĐ-CP</w:t>
        </w:r>
      </w:hyperlink>
      <w:r w:rsidRPr="0063154B">
        <w:rPr>
          <w:rFonts w:ascii="Times New Roman" w:hAnsi="Times New Roman"/>
          <w:sz w:val="24"/>
          <w:szCs w:val="24"/>
        </w:rPr>
        <w:t>. Theo dõi, giám sát, kiểm tra việc điều chỉnh giá xăng dầu của thương nhân đầu mối, thương nhân phân phối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d) Quản lý văn bản kê khai giá, dự kiến mức điều chỉnh giá, văn bản đăng ký giá của thương nhân, các văn bản của Tổ Liên ngành báo cáo Lãnh đạo Liên Bộ Công Thương - Tài chính về điều hành giá xăng dầu theo quy định của pháp luật về tài liệu mật.</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Quyền hạn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Được quyền yêu cầu các thương nhân giải trình văn bản kê khai giá, dự kiến mức điều chỉnh giá, văn bản đăng ký giá, quyết định điều chỉnh giá khi xét thấy các văn bản này chưa thực hiện đúng quy định;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Được Lãnh đạo Liên Bộ Công Thương - Tài chính ủy quyền ký các văn bản thông báo đến các thương nhân liên quan đến nhiệm vụ điều hành giá.</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lastRenderedPageBreak/>
        <w:t xml:space="preserve">Điều </w:t>
      </w:r>
      <w:bookmarkStart w:id="15" w:name="Dieu_12"/>
      <w:bookmarkEnd w:id="15"/>
      <w:r w:rsidRPr="0063154B">
        <w:rPr>
          <w:rStyle w:val="Strong"/>
          <w:rFonts w:ascii="Times New Roman" w:hAnsi="Times New Roman"/>
          <w:sz w:val="24"/>
          <w:szCs w:val="24"/>
        </w:rPr>
        <w:t>12. Chế độ, nguyên tắc làm việc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Chế độ làm việc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Tổ Liên ngành thực hiện nhiệm vụ theo chế độ kiêm nhiệm;</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Tổ Liên ngành được sử dụng con dấu của Bộ Công Thương và Tổ trưởng Tổ Liên ngành ký thừa lệnh Bộ trưởng Bộ Công Thương trong phạm vi nhiệm vụ, quyền hạn được giao về điều hành giá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Phó Tổ trưởng thường trực Tổ Liên ngành thực hiện nhiệm vụ theo phân công của Tổ trưởng.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2. Nguyên tắc làm việc của Tổ Liên ngành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a) Tổ Liên ngành làm việc theo nguyên tắc tập thể. Tổ trưởng chịu trách nhiệm phân công nhiệm vụ cho các thành viên và chịu trách nhiệm về các báo cáo tham mưu cho Lãnh đạo Liên Bộ Công Thương - Tài chính. Từng thành viên của Tổ Liên ngành chịu trách nhiệm về các ý kiến tham mưu, đề xuất của mình trước Tổ trưởng và Lãnh đạo Liên Bộ Công Thương - Tài chính liên quan đến việc điều hành giá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b) Trong quá trình làm việc, các thành viên của Tổ Liên ngành phải chấp hành sự phân công của Tổ trưởng; thực hiện độc lập trong đề xuất ý kiến nhưng phải phối hợp công tác, trao đổi thông tin về những vấn đề liên quan đến điều hành giá xăng dầu; được bảo lưu ý kiến trong quá trình làm việc nhưng phải chấp hành quyết định của Lãnh đạo Liên Bộ Công Thương - Tài chính. Trường hợp ý kiến của hai Bộ khác nhau, Bộ Công Thương quyết định và chịu trách nhiệm về quyết định của Bộ; trường hợp cần thiết, Bộ Công Thương báo cáo Thủ tướng Chính phủ;</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Thực hiện nguyên tắc bảo mật. Nghiêm cấm tiết lộ thông tin trong quá trình điều hành giá xăng dầu, lợi dụng công việc được giao để vụ lợi cá nhân.</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6" w:name="Dieu_13"/>
      <w:bookmarkEnd w:id="16"/>
      <w:r w:rsidRPr="0063154B">
        <w:rPr>
          <w:rStyle w:val="Strong"/>
          <w:rFonts w:ascii="Times New Roman" w:hAnsi="Times New Roman"/>
          <w:sz w:val="24"/>
          <w:szCs w:val="24"/>
        </w:rPr>
        <w:t>13. Công bố giá cơ sở và điều chỉnh giá bán lẻ xăng dầu</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1. Liên Bộ Công Thương - Tài chính tính toán, công bố giá cơ sở theo chu kỳ tính giá quy định tại khoản 9 Điều 3, Điều 38 Nghị định số </w:t>
      </w:r>
      <w:hyperlink r:id="rId24" w:tgtFrame="_blank" w:history="1">
        <w:r w:rsidRPr="0063154B">
          <w:rPr>
            <w:rStyle w:val="Hyperlink"/>
            <w:rFonts w:ascii="Times New Roman" w:hAnsi="Times New Roman"/>
            <w:sz w:val="24"/>
            <w:szCs w:val="24"/>
          </w:rPr>
          <w:t>83/2014/NĐ-CP</w:t>
        </w:r>
      </w:hyperlink>
      <w:r w:rsidRPr="0063154B">
        <w:rPr>
          <w:rFonts w:ascii="Times New Roman" w:hAnsi="Times New Roman"/>
          <w:sz w:val="24"/>
          <w:szCs w:val="24"/>
        </w:rPr>
        <w:t xml:space="preserve"> trên trang Thông tin điện tử của Bộ Công Thương, Bộ Tài chính.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Trường hợp ngày công bố giá cơ sở theo chu kỳ tính giá là ngày nghỉ hoặc ngày nghỉ lễ theo quy định, Liên Bộ Công Thương - Tài chính thực hiện công bố giá cơ sở vào ngày làm việc đầu tiên sau ngày nghỉ hoặc ngày nghỉ lễ của chu kỳ tính giá.</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2. Căn cứ giá cơ sở và mức sử dụng Quỹ bình ổn do Liên Bộ Công Thương - Tài chính công bố, các thương nhân đầu mối, thương nhân phân phối được điều chỉnh giá bán lẻ (riêng madút là giá bán buôn) theo quy định tại Điều 37, Điều 38 Nghị định số </w:t>
      </w:r>
      <w:hyperlink r:id="rId25" w:tgtFrame="_blank" w:history="1">
        <w:r w:rsidRPr="0063154B">
          <w:rPr>
            <w:rStyle w:val="Hyperlink"/>
            <w:rFonts w:ascii="Times New Roman" w:hAnsi="Times New Roman"/>
            <w:sz w:val="24"/>
            <w:szCs w:val="24"/>
          </w:rPr>
          <w:t>83/2014/NĐ-CP</w:t>
        </w:r>
      </w:hyperlink>
      <w:r w:rsidRPr="0063154B">
        <w:rPr>
          <w:rFonts w:ascii="Times New Roman" w:hAnsi="Times New Roman"/>
          <w:sz w:val="24"/>
          <w:szCs w:val="24"/>
        </w:rPr>
        <w:t xml:space="preserve"> và Khoản 4 Điều 7 Thông tư này nhưng không cao hơn giá cơ sở do Liên Bộ Công Thương - Tài chính công bố theo quy định. Cụ thể:</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a) Trường hợp các yếu tố cấu thành biến động làm cho giá cơ sở kỳ công bố tăng trong phạm vi đến ba phần trăm (≤ 03%) so với giá cơ sở liền kề trước đó, Liên Bộ Công Thương - Tài chính công bố giá cơ sở nhưng không công bố mức sử dụng Quỹ Bình ổn giá, thương nhân được phép điều chỉnh giá bán lẻ (riêng madút là giá bán buôn) theo quy định tại điểm a khoản 3 Điều 38 Nghị định số </w:t>
      </w:r>
      <w:hyperlink r:id="rId26"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b) Trường hợp các yếu tố cấu thành biến động làm cho giá cơ sở kỳ công bố tăng trong phạm vi đến ba phần trăm (≤ 03%) so với giá cơ sở liền kề trước đó, nhưng việc tăng giá ảnh hưởng đến tình hình kinh tế - xã hội và đời sống nhân dân, Liên Bộ Công Thương - Tài chính công bố mức sử dụng Quỹ Bình ổn giá cùng thời điểm công bố giá cơ sở. Thương nhân không điều chỉnh giá bán lẻ hoặc được phép điều chỉnh giá bán lẻ nhưng mức giá bán lẻ sau điều chỉnh đã tính mức sử dụng Quỹ bình ổn không cao hơn giá cơ sở kỳ công bố;</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c) Trường hợp các yếu tố cấu thành biến động làm cho giá cơ sở kỳ công bố tăng vượt ba phần trăm (&gt; 03%) đến bảy phần trăm (≤ 07%) so với giá cơ sở liền kề trước đó, trong thời gian ba (03) ngày làm việc kể từ ngày nhận được văn bản kê khai giá, Tổ Liên ngành điều hành giá xăng dầu phải có văn bản trả lời thương nhân đầu mối về việc điều chỉnh mức giá và thông báo bằng văn bản về việc sử dụng Quỹ Bình ổn giá (nếu có) để các thương nhân đầu mối thực hiện;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d) Trường hợp các yếu tố cấu thành biến động làm cho giá cơ sở kỳ công bố tăng vượt ba phần trăm (&gt; 03%) đến bảy phần trăm (≤ 07%) so với giá cơ sở liền kề trước đó, nếu sau ba (03) ngày làm việc kể từ khi Liên Bộ Công Thương - Tài chính nhận được văn bản kê khai giá, dự kiến mức điều chỉnh giá của thương nhân đầu mối mà không có văn bản trả lời thương nhân, thương nhân đầu mối được điều chỉnh giá bán lẻ không cao hơn giá cơ sở của kỳ công bố.</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 Thời gian được phép điều chỉnh giá bán lẻ của thương nhân đầu mối, thương nhân phân phối đối với trường hợp tăng giá là khoảng thời gian từ sau khi Liên Bộ Công Thương - Tài chính công bố giá cơ sở đến trước khi Liên Bộ Công Thương - Tài chính công bố giá cơ sở kỳ kế tiếp; đối với trường hợp giảm giá phải thực hiện theo đúng thời điểm Liên Bộ Công Thương - Tài chính công bố.</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Chương </w:t>
      </w:r>
      <w:bookmarkStart w:id="17" w:name="Chuong_V"/>
      <w:bookmarkEnd w:id="17"/>
      <w:r w:rsidRPr="0063154B">
        <w:rPr>
          <w:rStyle w:val="Strong"/>
          <w:rFonts w:ascii="Times New Roman" w:hAnsi="Times New Roman"/>
          <w:sz w:val="24"/>
          <w:szCs w:val="24"/>
        </w:rPr>
        <w:t>V</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ĐIỀU KHOẢN THI HÀNH</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8" w:name="Dieu_14"/>
      <w:bookmarkEnd w:id="18"/>
      <w:r w:rsidRPr="0063154B">
        <w:rPr>
          <w:rStyle w:val="Strong"/>
          <w:rFonts w:ascii="Times New Roman" w:hAnsi="Times New Roman"/>
          <w:sz w:val="24"/>
          <w:szCs w:val="24"/>
        </w:rPr>
        <w:t>14. Hiệu lực thi hành</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Thông tư này có hiệu lực kể từ ngày 01 tháng 11 năm 2014. Bãi bỏ Thông tư số </w:t>
      </w:r>
      <w:hyperlink r:id="rId27" w:tgtFrame="_blank" w:history="1">
        <w:r w:rsidRPr="0063154B">
          <w:rPr>
            <w:rStyle w:val="Hyperlink"/>
            <w:rFonts w:ascii="Times New Roman" w:hAnsi="Times New Roman"/>
            <w:sz w:val="24"/>
            <w:szCs w:val="24"/>
          </w:rPr>
          <w:t>234/2009/TT-BTC</w:t>
        </w:r>
      </w:hyperlink>
      <w:r w:rsidRPr="0063154B">
        <w:rPr>
          <w:rFonts w:ascii="Times New Roman" w:hAnsi="Times New Roman"/>
          <w:sz w:val="24"/>
          <w:szCs w:val="24"/>
        </w:rPr>
        <w:t xml:space="preserve"> ngày 09 tháng 12 năm 2009 của Bộ trưởng Bộ Tài chính hướng dẫn cơ chế hình thành, quản lý và sử dụng Quỹ Bình ổn giá xăng dầu theo quy định tại Nghị định số 84/2009/NĐ - CP ngày 15 tháng 10 năm 2009 của Chính phủ về kinh doanh xăng dầu và các quy định trước đây trái với quy định tại Thông tư liên tịch này.</w:t>
      </w:r>
    </w:p>
    <w:p w:rsidR="0063154B" w:rsidRPr="0063154B" w:rsidRDefault="0063154B" w:rsidP="0063154B">
      <w:pPr>
        <w:pStyle w:val="NormalWeb"/>
        <w:ind w:right="-5"/>
        <w:rPr>
          <w:rFonts w:ascii="Times New Roman" w:hAnsi="Times New Roman"/>
          <w:sz w:val="24"/>
          <w:szCs w:val="24"/>
        </w:rPr>
      </w:pPr>
      <w:r w:rsidRPr="0063154B">
        <w:rPr>
          <w:rStyle w:val="Strong"/>
          <w:rFonts w:ascii="Times New Roman" w:hAnsi="Times New Roman"/>
          <w:sz w:val="24"/>
          <w:szCs w:val="24"/>
        </w:rPr>
        <w:t xml:space="preserve">Điều </w:t>
      </w:r>
      <w:bookmarkStart w:id="19" w:name="Dieu_15"/>
      <w:bookmarkEnd w:id="19"/>
      <w:r w:rsidRPr="0063154B">
        <w:rPr>
          <w:rStyle w:val="Strong"/>
          <w:rFonts w:ascii="Times New Roman" w:hAnsi="Times New Roman"/>
          <w:sz w:val="24"/>
          <w:szCs w:val="24"/>
        </w:rPr>
        <w:t>15. Tổ chức thực hiện</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1. Bộ Công Thương giao Vụ Thị trường trong nước làm đầu mối, phối hợp các đơn vị liên quan thuộc Bộ thực hiện các công việc theo chức năng, nhiệm vụ được phân công: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a) Chủ trì, phối hợp Bộ Tài chính điều hành giá xăng dầu, điều hành trích lập và sử dụng Quỹ Bình ổn giá xăng dầu, kiểm tra, giám sát thương nhân đầu mối, thương nhân phân phối xăng dầu theo quy định tại điểm đ khoản 1 Điều 40 Nghị định số </w:t>
      </w:r>
      <w:hyperlink r:id="rId28"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b) Công bố thông tin về xăng dầu trên trang thông tin điện tử của Bộ Công Thương theo quy định tại khoản 2 Điều 39 Nghị định số </w:t>
      </w:r>
      <w:hyperlink r:id="rId29"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lastRenderedPageBreak/>
        <w:t>2. Bộ Tài chính giao Cục Quản lý Giá làm đầu mối, phối hợp các đơn vị liên quan thuộc Bộ thực hiện các công việc theo chức năng, nhiệm vụ được phân công:</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a) Chủ trì kiểm tra, giám sát thương nhân đầu mối thực hiện các quy định tại Điều 37 Nghị định số </w:t>
      </w:r>
      <w:hyperlink r:id="rId30" w:tgtFrame="_blank" w:history="1">
        <w:r w:rsidRPr="0063154B">
          <w:rPr>
            <w:rStyle w:val="Hyperlink"/>
            <w:rFonts w:ascii="Times New Roman" w:hAnsi="Times New Roman"/>
            <w:sz w:val="24"/>
            <w:szCs w:val="24"/>
          </w:rPr>
          <w:t>83/2014/NĐ-CP</w:t>
        </w:r>
      </w:hyperlink>
      <w:r w:rsidRPr="0063154B">
        <w:rPr>
          <w:rFonts w:ascii="Times New Roman" w:hAnsi="Times New Roman"/>
          <w:sz w:val="24"/>
          <w:szCs w:val="24"/>
        </w:rPr>
        <w:t xml:space="preserve"> và các loại thuế, phí có liên quan. Phối hợp Bộ Công Thương kiểm tra, giám sát thương nhân đầu mối thực hiện các quy định tại Điều 38 Nghị định số </w:t>
      </w:r>
      <w:hyperlink r:id="rId31"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b) Thực hiện chức năng quản lý nhà nước về giá. Chủ trì, phối hợp Bộ Công Thương thực hiện các công việc quy định tại điểm b khoản 2 Điều 40 Nghị định số </w:t>
      </w:r>
      <w:hyperlink r:id="rId32"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 xml:space="preserve">c) Chủ trì kiểm tra, giám sát việc điều hành giá xăng dầu; kiểm tra, giám sát việc trích lập, mức sử dụng Quỹ Bình ổn giá của các thương nhân đầu mối theo quy định tại khoản 2 Điều 39 Nghị định số </w:t>
      </w:r>
      <w:hyperlink r:id="rId33" w:tgtFrame="_blank" w:history="1">
        <w:r w:rsidRPr="0063154B">
          <w:rPr>
            <w:rStyle w:val="Hyperlink"/>
            <w:rFonts w:ascii="Times New Roman" w:hAnsi="Times New Roman"/>
            <w:sz w:val="24"/>
            <w:szCs w:val="24"/>
          </w:rPr>
          <w:t>83/2014/NĐ-CP.</w:t>
        </w:r>
      </w:hyperlink>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3. Các đơn vị thuộc Bộ Công Thương, Bộ Tài chính; Sở Công Thương, Sở Tài chính các tỉnh, thành phố trực thuộc Trung ương; tổ chức, cá nhân có liên quan; thương nhân kinh doanh xăng dầu chịu trách nhiệm thi hành Thông tư này.</w:t>
      </w:r>
    </w:p>
    <w:p w:rsidR="0063154B" w:rsidRPr="0063154B" w:rsidRDefault="0063154B" w:rsidP="0063154B">
      <w:pPr>
        <w:pStyle w:val="NormalWeb"/>
        <w:ind w:right="-5"/>
        <w:rPr>
          <w:rFonts w:ascii="Times New Roman" w:hAnsi="Times New Roman"/>
          <w:sz w:val="24"/>
          <w:szCs w:val="24"/>
        </w:rPr>
      </w:pPr>
      <w:r w:rsidRPr="0063154B">
        <w:rPr>
          <w:rFonts w:ascii="Times New Roman" w:hAnsi="Times New Roman"/>
          <w:sz w:val="24"/>
          <w:szCs w:val="24"/>
        </w:rPr>
        <w:t>4. Trong quá trình triển khai thực hiện, nếu có khó khăn, vướng mắc đề nghị các cơ quan, đơn vị phản ánh về Bộ Công Thương, Bộ Tài chính để nghiên cứu, sửa đổi, bổ sung cho phù hợp./.</w:t>
      </w:r>
    </w:p>
    <w:p w:rsidR="0063154B" w:rsidRPr="0063154B" w:rsidRDefault="0063154B" w:rsidP="0063154B">
      <w:pPr>
        <w:pStyle w:val="NormalWeb"/>
        <w:rPr>
          <w:rFonts w:ascii="Times New Roman" w:hAnsi="Times New Roman"/>
          <w:sz w:val="24"/>
          <w:szCs w:val="24"/>
        </w:rPr>
      </w:pPr>
      <w:r w:rsidRPr="0063154B">
        <w:rPr>
          <w:rFonts w:ascii="Times New Roman" w:hAnsi="Times New Roman"/>
          <w:sz w:val="24"/>
          <w:szCs w:val="24"/>
        </w:rPr>
        <w:t> </w:t>
      </w:r>
    </w:p>
    <w:tbl>
      <w:tblPr>
        <w:tblW w:w="5000" w:type="pct"/>
        <w:tblCellSpacing w:w="15" w:type="dxa"/>
        <w:tblCellMar>
          <w:top w:w="15" w:type="dxa"/>
          <w:left w:w="15" w:type="dxa"/>
          <w:bottom w:w="15" w:type="dxa"/>
          <w:right w:w="15" w:type="dxa"/>
        </w:tblCellMar>
        <w:tblLook w:val="04A0"/>
      </w:tblPr>
      <w:tblGrid>
        <w:gridCol w:w="4894"/>
        <w:gridCol w:w="4878"/>
        <w:gridCol w:w="66"/>
        <w:gridCol w:w="66"/>
        <w:gridCol w:w="66"/>
        <w:gridCol w:w="66"/>
        <w:gridCol w:w="66"/>
        <w:gridCol w:w="81"/>
      </w:tblGrid>
      <w:tr w:rsidR="0063154B" w:rsidRPr="0063154B" w:rsidTr="0063154B">
        <w:trPr>
          <w:gridAfter w:val="6"/>
          <w:tblCellSpacing w:w="15" w:type="dxa"/>
        </w:trPr>
        <w:tc>
          <w:tcPr>
            <w:tcW w:w="5805" w:type="dxa"/>
            <w:vAlign w:val="center"/>
            <w:hideMark/>
          </w:tcPr>
          <w:p w:rsidR="0063154B" w:rsidRPr="0063154B" w:rsidRDefault="0063154B" w:rsidP="0063154B">
            <w:pPr>
              <w:jc w:val="both"/>
            </w:pPr>
          </w:p>
        </w:tc>
        <w:tc>
          <w:tcPr>
            <w:tcW w:w="5805" w:type="dxa"/>
            <w:vAlign w:val="center"/>
            <w:hideMark/>
          </w:tcPr>
          <w:p w:rsidR="0063154B" w:rsidRPr="0063154B" w:rsidRDefault="0063154B" w:rsidP="0063154B">
            <w:pPr>
              <w:jc w:val="both"/>
            </w:pPr>
          </w:p>
        </w:tc>
      </w:tr>
      <w:tr w:rsidR="0063154B" w:rsidRPr="0063154B" w:rsidTr="0063154B">
        <w:trPr>
          <w:gridAfter w:val="6"/>
          <w:tblCellSpacing w:w="15" w:type="dxa"/>
        </w:trPr>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sz w:val="24"/>
                <w:szCs w:val="24"/>
              </w:rPr>
              <w:t>KT. BỘ TRƯỞNG Bộ Công Thương</w:t>
            </w:r>
            <w:r w:rsidRPr="0063154B">
              <w:rPr>
                <w:rFonts w:ascii="Times New Roman" w:hAnsi="Times New Roman"/>
                <w:sz w:val="24"/>
                <w:szCs w:val="24"/>
              </w:rPr>
              <w:br/>
              <w:t>Thứ trưởng</w:t>
            </w:r>
          </w:p>
        </w:tc>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sz w:val="24"/>
                <w:szCs w:val="24"/>
              </w:rPr>
              <w:t>KT. BỘ TRƯỞNG Bộ Tài chính</w:t>
            </w:r>
            <w:r w:rsidRPr="0063154B">
              <w:rPr>
                <w:rFonts w:ascii="Times New Roman" w:hAnsi="Times New Roman"/>
                <w:sz w:val="24"/>
                <w:szCs w:val="24"/>
              </w:rPr>
              <w:br/>
              <w:t>Thứ trưởng</w:t>
            </w:r>
          </w:p>
        </w:tc>
      </w:tr>
      <w:tr w:rsidR="0063154B" w:rsidRPr="0063154B" w:rsidTr="0063154B">
        <w:trPr>
          <w:gridAfter w:val="6"/>
          <w:tblCellSpacing w:w="15" w:type="dxa"/>
        </w:trPr>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i/>
                <w:iCs/>
                <w:sz w:val="24"/>
                <w:szCs w:val="24"/>
              </w:rPr>
              <w:t>(Đã ký)</w:t>
            </w:r>
          </w:p>
        </w:tc>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i/>
                <w:iCs/>
                <w:sz w:val="24"/>
                <w:szCs w:val="24"/>
              </w:rPr>
              <w:t>(Đã ký)</w:t>
            </w:r>
          </w:p>
        </w:tc>
      </w:tr>
      <w:tr w:rsidR="0063154B" w:rsidRPr="0063154B" w:rsidTr="0063154B">
        <w:trPr>
          <w:tblCellSpacing w:w="15" w:type="dxa"/>
        </w:trPr>
        <w:tc>
          <w:tcPr>
            <w:tcW w:w="0" w:type="auto"/>
            <w:gridSpan w:val="4"/>
            <w:vAlign w:val="center"/>
            <w:hideMark/>
          </w:tcPr>
          <w:p w:rsidR="0063154B" w:rsidRPr="0063154B" w:rsidRDefault="0063154B" w:rsidP="0063154B">
            <w:pPr>
              <w:jc w:val="both"/>
            </w:pPr>
            <w:r w:rsidRPr="0063154B">
              <w:t> </w:t>
            </w:r>
          </w:p>
        </w:tc>
        <w:tc>
          <w:tcPr>
            <w:tcW w:w="0" w:type="auto"/>
            <w:gridSpan w:val="4"/>
            <w:vAlign w:val="center"/>
            <w:hideMark/>
          </w:tcPr>
          <w:p w:rsidR="0063154B" w:rsidRPr="0063154B" w:rsidRDefault="0063154B" w:rsidP="0063154B">
            <w:pPr>
              <w:jc w:val="both"/>
            </w:pPr>
            <w:r w:rsidRPr="0063154B">
              <w:t> </w:t>
            </w:r>
          </w:p>
        </w:tc>
      </w:tr>
      <w:tr w:rsidR="0063154B" w:rsidRPr="0063154B" w:rsidTr="0063154B">
        <w:trPr>
          <w:tblCellSpacing w:w="15" w:type="dxa"/>
        </w:trPr>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sz w:val="24"/>
                <w:szCs w:val="24"/>
              </w:rPr>
              <w:t>Đỗ Thắng Hải</w:t>
            </w:r>
          </w:p>
        </w:tc>
        <w:tc>
          <w:tcPr>
            <w:tcW w:w="5805" w:type="dxa"/>
            <w:vAlign w:val="center"/>
            <w:hideMark/>
          </w:tcPr>
          <w:p w:rsidR="0063154B" w:rsidRPr="0063154B" w:rsidRDefault="0063154B" w:rsidP="0063154B">
            <w:pPr>
              <w:pStyle w:val="NormalWeb"/>
              <w:rPr>
                <w:rFonts w:ascii="Times New Roman" w:hAnsi="Times New Roman"/>
                <w:sz w:val="24"/>
                <w:szCs w:val="24"/>
              </w:rPr>
            </w:pPr>
            <w:r w:rsidRPr="0063154B">
              <w:rPr>
                <w:rFonts w:ascii="Times New Roman" w:hAnsi="Times New Roman"/>
                <w:sz w:val="24"/>
                <w:szCs w:val="24"/>
              </w:rPr>
              <w:t>Trần Văn Hiếu</w:t>
            </w:r>
          </w:p>
        </w:tc>
        <w:tc>
          <w:tcPr>
            <w:tcW w:w="0" w:type="auto"/>
            <w:vAlign w:val="center"/>
            <w:hideMark/>
          </w:tcPr>
          <w:p w:rsidR="0063154B" w:rsidRPr="0063154B" w:rsidRDefault="0063154B" w:rsidP="0063154B">
            <w:pPr>
              <w:jc w:val="both"/>
            </w:pPr>
          </w:p>
        </w:tc>
        <w:tc>
          <w:tcPr>
            <w:tcW w:w="0" w:type="auto"/>
            <w:vAlign w:val="center"/>
            <w:hideMark/>
          </w:tcPr>
          <w:p w:rsidR="0063154B" w:rsidRPr="0063154B" w:rsidRDefault="0063154B" w:rsidP="0063154B">
            <w:pPr>
              <w:jc w:val="both"/>
            </w:pPr>
          </w:p>
        </w:tc>
        <w:tc>
          <w:tcPr>
            <w:tcW w:w="0" w:type="auto"/>
            <w:vAlign w:val="center"/>
            <w:hideMark/>
          </w:tcPr>
          <w:p w:rsidR="0063154B" w:rsidRPr="0063154B" w:rsidRDefault="0063154B" w:rsidP="0063154B">
            <w:pPr>
              <w:jc w:val="both"/>
            </w:pPr>
          </w:p>
        </w:tc>
        <w:tc>
          <w:tcPr>
            <w:tcW w:w="0" w:type="auto"/>
            <w:vAlign w:val="center"/>
            <w:hideMark/>
          </w:tcPr>
          <w:p w:rsidR="0063154B" w:rsidRPr="0063154B" w:rsidRDefault="0063154B" w:rsidP="0063154B">
            <w:pPr>
              <w:jc w:val="both"/>
            </w:pPr>
          </w:p>
        </w:tc>
        <w:tc>
          <w:tcPr>
            <w:tcW w:w="0" w:type="auto"/>
            <w:vAlign w:val="center"/>
            <w:hideMark/>
          </w:tcPr>
          <w:p w:rsidR="0063154B" w:rsidRPr="0063154B" w:rsidRDefault="0063154B" w:rsidP="0063154B">
            <w:pPr>
              <w:jc w:val="both"/>
            </w:pPr>
          </w:p>
        </w:tc>
        <w:tc>
          <w:tcPr>
            <w:tcW w:w="0" w:type="auto"/>
            <w:vAlign w:val="center"/>
            <w:hideMark/>
          </w:tcPr>
          <w:p w:rsidR="0063154B" w:rsidRPr="0063154B" w:rsidRDefault="0063154B" w:rsidP="0063154B">
            <w:pPr>
              <w:jc w:val="both"/>
            </w:pPr>
          </w:p>
        </w:tc>
      </w:tr>
    </w:tbl>
    <w:p w:rsidR="003C3FB5" w:rsidRPr="0063154B" w:rsidRDefault="003C3FB5" w:rsidP="0063154B">
      <w:pPr>
        <w:jc w:val="both"/>
      </w:pPr>
    </w:p>
    <w:sectPr w:rsidR="003C3FB5" w:rsidRPr="0063154B" w:rsidSect="00D9152F">
      <w:headerReference w:type="even" r:id="rId34"/>
      <w:headerReference w:type="default" r:id="rId35"/>
      <w:footerReference w:type="even" r:id="rId36"/>
      <w:footerReference w:type="default" r:id="rId37"/>
      <w:headerReference w:type="first" r:id="rId38"/>
      <w:footerReference w:type="first" r:id="rId39"/>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30" w:rsidRDefault="00421230" w:rsidP="00D9152F">
      <w:r>
        <w:separator/>
      </w:r>
    </w:p>
  </w:endnote>
  <w:endnote w:type="continuationSeparator" w:id="1">
    <w:p w:rsidR="00421230" w:rsidRDefault="0042123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3" w:rsidRDefault="00447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3" w:rsidRDefault="00447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30" w:rsidRDefault="00421230" w:rsidP="00D9152F">
      <w:r>
        <w:separator/>
      </w:r>
    </w:p>
  </w:footnote>
  <w:footnote w:type="continuationSeparator" w:id="1">
    <w:p w:rsidR="00421230" w:rsidRDefault="0042123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3" w:rsidRDefault="00447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47F33" w:rsidRPr="00A67571" w:rsidTr="004E1E0E">
      <w:trPr>
        <w:trHeight w:val="1208"/>
      </w:trPr>
      <w:tc>
        <w:tcPr>
          <w:tcW w:w="2411" w:type="dxa"/>
          <w:tcBorders>
            <w:top w:val="nil"/>
            <w:left w:val="nil"/>
            <w:bottom w:val="single" w:sz="4" w:space="0" w:color="auto"/>
            <w:right w:val="nil"/>
          </w:tcBorders>
          <w:vAlign w:val="center"/>
          <w:hideMark/>
        </w:tcPr>
        <w:p w:rsidR="00447F33" w:rsidRPr="00A67571" w:rsidRDefault="00447F33" w:rsidP="004E1E0E">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47F33" w:rsidRPr="00A67571" w:rsidRDefault="00447F33" w:rsidP="004E1E0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47F33" w:rsidRPr="00A67571" w:rsidRDefault="00447F33" w:rsidP="004E1E0E">
          <w:pPr>
            <w:rPr>
              <w:sz w:val="20"/>
            </w:rPr>
          </w:pPr>
          <w:r w:rsidRPr="00A67571">
            <w:rPr>
              <w:sz w:val="20"/>
            </w:rPr>
            <w:t>No 2305, VNT Tower, 19  Nguyen Trai Street, Thanh Xuan District, Hanoi City, Viet Nam</w:t>
          </w:r>
        </w:p>
        <w:p w:rsidR="00447F33" w:rsidRPr="00A67571" w:rsidRDefault="00447F33" w:rsidP="004E1E0E">
          <w:pPr>
            <w:rPr>
              <w:sz w:val="20"/>
            </w:rPr>
          </w:pPr>
          <w:r w:rsidRPr="00A67571">
            <w:rPr>
              <w:sz w:val="20"/>
            </w:rPr>
            <w:t>Tel:   1900.6212 – 1900.6239 – 1900.6190   Fax: 04.3562.7716</w:t>
          </w:r>
        </w:p>
        <w:p w:rsidR="00447F33" w:rsidRPr="00A67571" w:rsidRDefault="00447F33" w:rsidP="004E1E0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421230">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3" w:rsidRDefault="00447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551B0"/>
    <w:rsid w:val="003C3FB5"/>
    <w:rsid w:val="00421230"/>
    <w:rsid w:val="00447F33"/>
    <w:rsid w:val="004A551C"/>
    <w:rsid w:val="00571B54"/>
    <w:rsid w:val="0063154B"/>
    <w:rsid w:val="00817063"/>
    <w:rsid w:val="00877907"/>
    <w:rsid w:val="009D7907"/>
    <w:rsid w:val="00A11CC7"/>
    <w:rsid w:val="00C144AF"/>
    <w:rsid w:val="00CB30D9"/>
    <w:rsid w:val="00D9152F"/>
    <w:rsid w:val="00FD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4A551C"/>
  </w:style>
  <w:style w:type="character" w:styleId="FollowedHyperlink">
    <w:name w:val="FollowedHyperlink"/>
    <w:basedOn w:val="DefaultParagraphFont"/>
    <w:uiPriority w:val="99"/>
    <w:semiHidden/>
    <w:unhideWhenUsed/>
    <w:rsid w:val="0063154B"/>
    <w:rPr>
      <w:color w:val="800080"/>
      <w:u w:val="single"/>
    </w:rPr>
  </w:style>
</w:styles>
</file>

<file path=word/webSettings.xml><?xml version="1.0" encoding="utf-8"?>
<w:webSettings xmlns:r="http://schemas.openxmlformats.org/officeDocument/2006/relationships" xmlns:w="http://schemas.openxmlformats.org/wordprocessingml/2006/main">
  <w:divs>
    <w:div w:id="1321616538">
      <w:bodyDiv w:val="1"/>
      <w:marLeft w:val="0"/>
      <w:marRight w:val="0"/>
      <w:marTop w:val="0"/>
      <w:marBottom w:val="0"/>
      <w:divBdr>
        <w:top w:val="none" w:sz="0" w:space="0" w:color="auto"/>
        <w:left w:val="none" w:sz="0" w:space="0" w:color="auto"/>
        <w:bottom w:val="none" w:sz="0" w:space="0" w:color="auto"/>
        <w:right w:val="none" w:sz="0" w:space="0" w:color="auto"/>
      </w:divBdr>
    </w:div>
    <w:div w:id="1454786184">
      <w:bodyDiv w:val="1"/>
      <w:marLeft w:val="0"/>
      <w:marRight w:val="0"/>
      <w:marTop w:val="0"/>
      <w:marBottom w:val="0"/>
      <w:divBdr>
        <w:top w:val="none" w:sz="0" w:space="0" w:color="auto"/>
        <w:left w:val="none" w:sz="0" w:space="0" w:color="auto"/>
        <w:bottom w:val="none" w:sz="0" w:space="0" w:color="auto"/>
        <w:right w:val="none" w:sz="0" w:space="0" w:color="auto"/>
      </w:divBdr>
      <w:divsChild>
        <w:div w:id="1651135080">
          <w:marLeft w:val="0"/>
          <w:marRight w:val="0"/>
          <w:marTop w:val="150"/>
          <w:marBottom w:val="0"/>
          <w:divBdr>
            <w:top w:val="none" w:sz="0" w:space="0" w:color="auto"/>
            <w:left w:val="none" w:sz="0" w:space="0" w:color="auto"/>
            <w:bottom w:val="none" w:sz="0" w:space="0" w:color="auto"/>
            <w:right w:val="none" w:sz="0" w:space="0" w:color="auto"/>
          </w:divBdr>
        </w:div>
        <w:div w:id="110369749">
          <w:marLeft w:val="0"/>
          <w:marRight w:val="0"/>
          <w:marTop w:val="0"/>
          <w:marBottom w:val="0"/>
          <w:divBdr>
            <w:top w:val="none" w:sz="0" w:space="0" w:color="auto"/>
            <w:left w:val="none" w:sz="0" w:space="0" w:color="auto"/>
            <w:bottom w:val="none" w:sz="0" w:space="0" w:color="auto"/>
            <w:right w:val="none" w:sz="0" w:space="0" w:color="auto"/>
          </w:divBdr>
        </w:div>
        <w:div w:id="11144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1/2012/QH13&amp;SearchIn=Title,Title1&amp;IsRec=1" TargetMode="External"/><Relationship Id="rId13" Type="http://schemas.openxmlformats.org/officeDocument/2006/relationships/hyperlink" Target="http://vbpl.vn/TW/pages/vbpq-timkiem.aspx?type=0&amp;s=1&amp;Keyword=177/2013/N%C4%90-CP&amp;SearchIn=Title,Title1&amp;IsRec=1" TargetMode="External"/><Relationship Id="rId18" Type="http://schemas.openxmlformats.org/officeDocument/2006/relationships/hyperlink" Target="http://vbpl.vn/TW/pages/vbpq-timkiem.aspx?type=0&amp;s=1&amp;Keyword=83/2014/N%C4%90-CP.&amp;SearchIn=Title,Title1&amp;IsRec=1" TargetMode="External"/><Relationship Id="rId26" Type="http://schemas.openxmlformats.org/officeDocument/2006/relationships/hyperlink" Target="http://vbpl.vn/TW/pages/vbpq-timkiem.aspx?type=0&amp;s=1&amp;Keyword=83/2014/N%C4%90-CP&amp;SearchIn=Title,Title1&amp;IsRec=1"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vbpl.vn/TW/pages/vbpq-timkiem.aspx?type=0&amp;s=1&amp;Keyword=83/2014/N%C4%90-CP.&amp;SearchIn=Title,Title1&amp;IsRec=1" TargetMode="External"/><Relationship Id="rId34" Type="http://schemas.openxmlformats.org/officeDocument/2006/relationships/header" Target="header1.xml"/><Relationship Id="rId7" Type="http://schemas.openxmlformats.org/officeDocument/2006/relationships/hyperlink" Target="http://vbpl.vn/TW/pages/vbpq-timkiem.aspx?type=0&amp;s=1&amp;Keyword=36/2005/QH11&amp;SearchIn=Title,Title1&amp;IsRec=1" TargetMode="External"/><Relationship Id="rId12" Type="http://schemas.openxmlformats.org/officeDocument/2006/relationships/hyperlink" Target="http://vbpl.vn/TW/pages/vbpq-timkiem.aspx?type=0&amp;s=1&amp;Keyword=83/2014/N%C4%90-CP&amp;SearchIn=Title,Title1&amp;IsRec=1" TargetMode="External"/><Relationship Id="rId17" Type="http://schemas.openxmlformats.org/officeDocument/2006/relationships/hyperlink" Target="http://vbpl.vn/TW/pages/vbpq-timkiem.aspx?type=0&amp;s=1&amp;Keyword=83/2014/N%C4%90-CP.&amp;SearchIn=Title,Title1&amp;IsRec=1" TargetMode="External"/><Relationship Id="rId25" Type="http://schemas.openxmlformats.org/officeDocument/2006/relationships/hyperlink" Target="http://vbpl.vn/TW/pages/vbpq-timkiem.aspx?type=0&amp;s=1&amp;Keyword=83/2014/N%C4%90-CP&amp;SearchIn=Title,Title1&amp;IsRec=1" TargetMode="External"/><Relationship Id="rId33" Type="http://schemas.openxmlformats.org/officeDocument/2006/relationships/hyperlink" Target="http://vbpl.vn/TW/pages/vbpq-timkiem.aspx?type=0&amp;s=1&amp;Keyword=83/2014/N%C4%90-CP.&amp;SearchIn=Title,Title1&amp;IsRec=1"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vbpl.vn/TW/pages/vbpq-timkiem.aspx?type=0&amp;s=1&amp;Keyword=83/2014/N%C4%90-CP&amp;SearchIn=Title,Title1&amp;IsRec=1" TargetMode="External"/><Relationship Id="rId20" Type="http://schemas.openxmlformats.org/officeDocument/2006/relationships/hyperlink" Target="http://vbpl.vn/TW/pages/vbpq-timkiem.aspx?type=0&amp;s=1&amp;Keyword=83/2014/N%C4%90-CP.&amp;SearchIn=Title,Title1&amp;IsRec=1" TargetMode="External"/><Relationship Id="rId29" Type="http://schemas.openxmlformats.org/officeDocument/2006/relationships/hyperlink" Target="http://vbpl.vn/TW/pages/vbpq-timkiem.aspx?type=0&amp;s=1&amp;Keyword=83/2014/N%C4%90-CP.&amp;SearchIn=Title,Title1&amp;IsRec=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bpl.vn/TW/pages/vbpq-timkiem.aspx?type=0&amp;s=1&amp;Keyword=83/2014/N%C4%90-CP&amp;SearchIn=Title,Title1&amp;IsRec=1" TargetMode="External"/><Relationship Id="rId11" Type="http://schemas.openxmlformats.org/officeDocument/2006/relationships/hyperlink" Target="http://vbpl.vn/TW/pages/vbpq-timkiem.aspx?type=0&amp;s=1&amp;Keyword=215/2013/N%C4%90-CP&amp;SearchIn=Title,Title1&amp;IsRec=1" TargetMode="External"/><Relationship Id="rId24" Type="http://schemas.openxmlformats.org/officeDocument/2006/relationships/hyperlink" Target="http://vbpl.vn/TW/pages/vbpq-timkiem.aspx?type=0&amp;s=1&amp;Keyword=83/2014/N%C4%90-CP&amp;SearchIn=Title,Title1&amp;IsRec=1" TargetMode="External"/><Relationship Id="rId32" Type="http://schemas.openxmlformats.org/officeDocument/2006/relationships/hyperlink" Target="http://vbpl.vn/TW/pages/vbpq-timkiem.aspx?type=0&amp;s=1&amp;Keyword=83/2014/N%C4%90-CP&amp;SearchIn=Title,Title1&amp;IsRec=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vbpl.vn/TW/pages/vbpq-timkiem.aspx?type=0&amp;s=1&amp;Keyword=83/2014/N%C4%90-CP&amp;SearchIn=Title,Title1&amp;IsRec=1" TargetMode="External"/><Relationship Id="rId23" Type="http://schemas.openxmlformats.org/officeDocument/2006/relationships/hyperlink" Target="http://vbpl.vn/TW/pages/vbpq-timkiem.aspx?type=0&amp;s=1&amp;Keyword=83/2014/N%C4%90-CP&amp;SearchIn=Title,Title1&amp;IsRec=1" TargetMode="External"/><Relationship Id="rId28" Type="http://schemas.openxmlformats.org/officeDocument/2006/relationships/hyperlink" Target="http://vbpl.vn/TW/pages/vbpq-timkiem.aspx?type=0&amp;s=1&amp;Keyword=83/2014/N%C4%90-CP&amp;SearchIn=Title,Title1&amp;IsRec=1" TargetMode="External"/><Relationship Id="rId36" Type="http://schemas.openxmlformats.org/officeDocument/2006/relationships/footer" Target="footer1.xml"/><Relationship Id="rId10" Type="http://schemas.openxmlformats.org/officeDocument/2006/relationships/hyperlink" Target="http://vbpl.vn/TW/pages/vbpq-timkiem.aspx?type=0&amp;s=1&amp;Keyword=95/2012/N%C4%90-CP&amp;SearchIn=Title,Title1&amp;IsRec=1" TargetMode="External"/><Relationship Id="rId19" Type="http://schemas.openxmlformats.org/officeDocument/2006/relationships/hyperlink" Target="http://vbpl.vn/TW/pages/vbpq-timkiem.aspx?type=0&amp;s=1&amp;Keyword=83/2014/N%C4%90-CP.&amp;SearchIn=Title,Title1&amp;IsRec=1" TargetMode="External"/><Relationship Id="rId31" Type="http://schemas.openxmlformats.org/officeDocument/2006/relationships/hyperlink" Target="http://vbpl.vn/TW/pages/vbpq-timkiem.aspx?type=0&amp;s=1&amp;Keyword=83/2014/N%C4%90-CP&amp;SearchIn=Title,Title1&amp;IsRec=1" TargetMode="External"/><Relationship Id="rId4" Type="http://schemas.openxmlformats.org/officeDocument/2006/relationships/footnotes" Target="footnotes.xml"/><Relationship Id="rId9" Type="http://schemas.openxmlformats.org/officeDocument/2006/relationships/hyperlink" Target="http://vbpl.vn/TW/pages/vbpq-timkiem.aspx?type=0&amp;s=1&amp;Keyword=03/2003/QH11&amp;SearchIn=Title,Title1&amp;IsRec=1" TargetMode="External"/><Relationship Id="rId14" Type="http://schemas.openxmlformats.org/officeDocument/2006/relationships/hyperlink" Target="http://vbpl.vn/TW/pages/vbpq-timkiem.aspx?type=0&amp;s=1&amp;Keyword=129/2004/N%C4%90-CP&amp;SearchIn=Title,Title1&amp;IsRec=1" TargetMode="External"/><Relationship Id="rId22" Type="http://schemas.openxmlformats.org/officeDocument/2006/relationships/hyperlink" Target="http://vbpl.vn/TW/pages/vbpq-timkiem.aspx?type=0&amp;s=1&amp;Keyword=83/2014/N%C4%90-CP&amp;SearchIn=Title,Title1&amp;IsRec=1" TargetMode="External"/><Relationship Id="rId27" Type="http://schemas.openxmlformats.org/officeDocument/2006/relationships/hyperlink" Target="http://vbpl.vn/TW/pages/vbpq-timkiem.aspx?type=0&amp;s=1&amp;Keyword=234/2009/TT-BTC&amp;SearchIn=Title,Title1&amp;IsRec=1" TargetMode="External"/><Relationship Id="rId30" Type="http://schemas.openxmlformats.org/officeDocument/2006/relationships/hyperlink" Target="http://vbpl.vn/TW/pages/vbpq-timkiem.aspx?type=0&amp;s=1&amp;Keyword=83/2014/N%C4%90-CP&amp;SearchIn=Title,Title1&amp;IsRec=1"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6092</Words>
  <Characters>34725</Characters>
  <Application>Microsoft Office Word</Application>
  <DocSecurity>0</DocSecurity>
  <Lines>289</Lines>
  <Paragraphs>81</Paragraphs>
  <ScaleCrop>false</ScaleCrop>
  <Company>Hewlett-Packard</Company>
  <LinksUpToDate>false</LinksUpToDate>
  <CharactersWithSpaces>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User</cp:lastModifiedBy>
  <cp:revision>3</cp:revision>
  <dcterms:created xsi:type="dcterms:W3CDTF">2014-12-17T08:18:00Z</dcterms:created>
  <dcterms:modified xsi:type="dcterms:W3CDTF">2014-12-30T02:47:00Z</dcterms:modified>
</cp:coreProperties>
</file>