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173B7E" w:rsidRPr="00173B7E" w:rsidTr="00173B7E">
        <w:trPr>
          <w:tblCellSpacing w:w="0" w:type="dxa"/>
        </w:trPr>
        <w:tc>
          <w:tcPr>
            <w:tcW w:w="3348" w:type="dxa"/>
            <w:shd w:val="clear" w:color="auto" w:fill="FFFFFF"/>
            <w:tcMar>
              <w:top w:w="0" w:type="dxa"/>
              <w:left w:w="108" w:type="dxa"/>
              <w:bottom w:w="0" w:type="dxa"/>
              <w:right w:w="108" w:type="dxa"/>
            </w:tcMar>
            <w:hideMark/>
          </w:tcPr>
          <w:p w:rsidR="00173B7E" w:rsidRPr="00173B7E" w:rsidRDefault="00173B7E" w:rsidP="00173B7E">
            <w:pPr>
              <w:spacing w:after="120" w:line="360" w:lineRule="auto"/>
              <w:jc w:val="center"/>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b/>
                <w:bCs/>
                <w:color w:val="000000"/>
                <w:sz w:val="28"/>
                <w:szCs w:val="28"/>
                <w:lang w:val="en-US" w:eastAsia="vi-VN"/>
              </w:rPr>
              <w:t>BỘ TÀI CHÍNH</w:t>
            </w:r>
            <w:r w:rsidRPr="00173B7E">
              <w:rPr>
                <w:rFonts w:asciiTheme="majorHAnsi" w:eastAsia="Times New Roman" w:hAnsiTheme="majorHAnsi" w:cstheme="majorHAnsi"/>
                <w:b/>
                <w:bCs/>
                <w:color w:val="000000"/>
                <w:sz w:val="28"/>
                <w:szCs w:val="28"/>
                <w:lang w:val="en-US" w:eastAsia="vi-VN"/>
              </w:rPr>
              <w:br/>
              <w:t>--------</w:t>
            </w:r>
          </w:p>
        </w:tc>
        <w:tc>
          <w:tcPr>
            <w:tcW w:w="5508" w:type="dxa"/>
            <w:shd w:val="clear" w:color="auto" w:fill="FFFFFF"/>
            <w:tcMar>
              <w:top w:w="0" w:type="dxa"/>
              <w:left w:w="108" w:type="dxa"/>
              <w:bottom w:w="0" w:type="dxa"/>
              <w:right w:w="108" w:type="dxa"/>
            </w:tcMar>
            <w:hideMark/>
          </w:tcPr>
          <w:p w:rsidR="00173B7E" w:rsidRPr="00173B7E" w:rsidRDefault="00173B7E" w:rsidP="00173B7E">
            <w:pPr>
              <w:spacing w:after="120" w:line="360" w:lineRule="auto"/>
              <w:jc w:val="center"/>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b/>
                <w:bCs/>
                <w:color w:val="000000"/>
                <w:sz w:val="28"/>
                <w:szCs w:val="28"/>
                <w:lang w:eastAsia="vi-VN"/>
              </w:rPr>
              <w:t>CỘNG HÒA XÃ HỘI CHỦ NGHĨA VIỆT NAM</w:t>
            </w:r>
            <w:r w:rsidRPr="00173B7E">
              <w:rPr>
                <w:rFonts w:asciiTheme="majorHAnsi" w:eastAsia="Times New Roman" w:hAnsiTheme="majorHAnsi" w:cstheme="majorHAnsi"/>
                <w:b/>
                <w:bCs/>
                <w:color w:val="000000"/>
                <w:sz w:val="28"/>
                <w:szCs w:val="28"/>
                <w:lang w:eastAsia="vi-VN"/>
              </w:rPr>
              <w:br/>
              <w:t>Độc lập - Tự do - Hạnh phúc </w:t>
            </w:r>
            <w:r w:rsidRPr="00173B7E">
              <w:rPr>
                <w:rFonts w:asciiTheme="majorHAnsi" w:eastAsia="Times New Roman" w:hAnsiTheme="majorHAnsi" w:cstheme="majorHAnsi"/>
                <w:b/>
                <w:bCs/>
                <w:color w:val="000000"/>
                <w:sz w:val="28"/>
                <w:szCs w:val="28"/>
                <w:lang w:eastAsia="vi-VN"/>
              </w:rPr>
              <w:br/>
              <w:t>---------------</w:t>
            </w:r>
          </w:p>
        </w:tc>
      </w:tr>
      <w:tr w:rsidR="00173B7E" w:rsidRPr="00173B7E" w:rsidTr="00173B7E">
        <w:trPr>
          <w:tblCellSpacing w:w="0" w:type="dxa"/>
        </w:trPr>
        <w:tc>
          <w:tcPr>
            <w:tcW w:w="3348" w:type="dxa"/>
            <w:shd w:val="clear" w:color="auto" w:fill="FFFFFF"/>
            <w:tcMar>
              <w:top w:w="0" w:type="dxa"/>
              <w:left w:w="108" w:type="dxa"/>
              <w:bottom w:w="0" w:type="dxa"/>
              <w:right w:w="108" w:type="dxa"/>
            </w:tcMar>
            <w:hideMark/>
          </w:tcPr>
          <w:p w:rsidR="00173B7E" w:rsidRPr="00173B7E" w:rsidRDefault="00173B7E" w:rsidP="00173B7E">
            <w:pPr>
              <w:spacing w:after="120" w:line="360" w:lineRule="auto"/>
              <w:jc w:val="center"/>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color w:val="000000"/>
                <w:sz w:val="28"/>
                <w:szCs w:val="28"/>
                <w:lang w:val="en-US" w:eastAsia="vi-VN"/>
              </w:rPr>
              <w:t>Số: 189/2014/TT-BTC</w:t>
            </w:r>
          </w:p>
        </w:tc>
        <w:tc>
          <w:tcPr>
            <w:tcW w:w="5508" w:type="dxa"/>
            <w:shd w:val="clear" w:color="auto" w:fill="FFFFFF"/>
            <w:tcMar>
              <w:top w:w="0" w:type="dxa"/>
              <w:left w:w="108" w:type="dxa"/>
              <w:bottom w:w="0" w:type="dxa"/>
              <w:right w:w="108" w:type="dxa"/>
            </w:tcMar>
            <w:hideMark/>
          </w:tcPr>
          <w:p w:rsidR="00173B7E" w:rsidRPr="00173B7E" w:rsidRDefault="00173B7E" w:rsidP="00173B7E">
            <w:pPr>
              <w:spacing w:after="120" w:line="360" w:lineRule="auto"/>
              <w:jc w:val="center"/>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i/>
                <w:iCs/>
                <w:color w:val="000000"/>
                <w:sz w:val="28"/>
                <w:szCs w:val="28"/>
                <w:lang w:eastAsia="vi-VN"/>
              </w:rPr>
              <w:t>Hà Nội, ngày 11 tháng 12 năm 2014</w:t>
            </w:r>
          </w:p>
        </w:tc>
      </w:tr>
    </w:tbl>
    <w:p w:rsidR="00173B7E" w:rsidRPr="00173B7E" w:rsidRDefault="00173B7E" w:rsidP="00173B7E">
      <w:pPr>
        <w:shd w:val="clear" w:color="auto" w:fill="FFFFFF"/>
        <w:spacing w:after="120" w:line="360" w:lineRule="auto"/>
        <w:jc w:val="center"/>
        <w:rPr>
          <w:rFonts w:asciiTheme="majorHAnsi" w:eastAsia="Times New Roman" w:hAnsiTheme="majorHAnsi" w:cstheme="majorHAnsi"/>
          <w:color w:val="000000"/>
          <w:sz w:val="28"/>
          <w:szCs w:val="28"/>
          <w:lang w:eastAsia="vi-VN"/>
        </w:rPr>
      </w:pPr>
    </w:p>
    <w:p w:rsidR="00173B7E" w:rsidRPr="00173B7E" w:rsidRDefault="00173B7E" w:rsidP="00173B7E">
      <w:pPr>
        <w:shd w:val="clear" w:color="auto" w:fill="FFFFFF"/>
        <w:spacing w:after="120" w:line="360" w:lineRule="auto"/>
        <w:jc w:val="center"/>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b/>
          <w:bCs/>
          <w:color w:val="000000"/>
          <w:sz w:val="28"/>
          <w:szCs w:val="28"/>
          <w:lang w:eastAsia="vi-VN"/>
        </w:rPr>
        <w:t>THÔNG TƯ</w:t>
      </w:r>
    </w:p>
    <w:p w:rsidR="00173B7E" w:rsidRPr="00173B7E" w:rsidRDefault="00173B7E" w:rsidP="00173B7E">
      <w:pPr>
        <w:shd w:val="clear" w:color="auto" w:fill="FFFFFF"/>
        <w:spacing w:after="120" w:line="360" w:lineRule="auto"/>
        <w:jc w:val="center"/>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color w:val="000000"/>
          <w:sz w:val="28"/>
          <w:szCs w:val="28"/>
          <w:lang w:eastAsia="vi-VN"/>
        </w:rPr>
        <w:t>QUY ĐỊNH LÃI SUẤT CHO VAY TÍN DỤNG ĐẦU TƯ, TÍN DỤNG XUẤT KHẨU CỦA NHÀ NƯỚC VÀ MỨC CHÊNH LỆCH LÃI SUẤT ĐƯỢC TÍNH HỖ TRỢ SAU ĐẦU TƯ</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i/>
          <w:iCs/>
          <w:color w:val="000000"/>
          <w:sz w:val="28"/>
          <w:szCs w:val="28"/>
          <w:lang w:eastAsia="vi-VN"/>
        </w:rPr>
        <w:t>Căn cứ Nghị định số 215/2013/NĐ-CP ngày 23/12/2013 của Chính phủ quy định về chức năng, nhiệm vụ, quyền hạn và cơ cấu tổ chức của Bộ Tài chính;</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i/>
          <w:iCs/>
          <w:color w:val="000000"/>
          <w:sz w:val="28"/>
          <w:szCs w:val="28"/>
          <w:lang w:eastAsia="vi-VN"/>
        </w:rPr>
        <w:t>Căn cứ Nghị định số 75/2011/NĐ-CP ngày 30/8/2011 của Chính phủ về tín dụng đầu tư và tín dụng xuất khẩu của Nhà nước;</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i/>
          <w:iCs/>
          <w:color w:val="000000"/>
          <w:sz w:val="28"/>
          <w:szCs w:val="28"/>
          <w:lang w:eastAsia="vi-VN"/>
        </w:rPr>
        <w:t>Theo đề nghị của Chủ tịch Hội đồng quản lý Ngân hàng Phát triển Việt Nam tại công văn số 91/HĐQL ngày 06/11/2014 về việc điều chỉnh lãi suất tín dụng đầu tư và tín dụng xuất khẩu của Nhà nước;</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i/>
          <w:iCs/>
          <w:color w:val="000000"/>
          <w:sz w:val="28"/>
          <w:szCs w:val="28"/>
          <w:lang w:eastAsia="vi-VN"/>
        </w:rPr>
        <w:t>Theo đề nghị của Vụ trưởng Vụ Tài chính các ngân hàng và tổ chức tài chính;</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i/>
          <w:iCs/>
          <w:color w:val="000000"/>
          <w:sz w:val="28"/>
          <w:szCs w:val="28"/>
          <w:lang w:eastAsia="vi-VN"/>
        </w:rPr>
        <w:t>Bộ trưởng Bộ Tài chính ban hành Thông tư quy định lãi suất cho vay tín dụng đầu tư, tín dụng xuất khẩu của Nhà nước và mức chênh lệch lãi suất được tính hỗ trợ sau đầu tư.</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b/>
          <w:bCs/>
          <w:color w:val="000000"/>
          <w:sz w:val="28"/>
          <w:szCs w:val="28"/>
          <w:lang w:eastAsia="vi-VN"/>
        </w:rPr>
        <w:lastRenderedPageBreak/>
        <w:t>Điều 1. </w:t>
      </w:r>
      <w:r w:rsidRPr="00173B7E">
        <w:rPr>
          <w:rFonts w:asciiTheme="majorHAnsi" w:eastAsia="Times New Roman" w:hAnsiTheme="majorHAnsi" w:cstheme="majorHAnsi"/>
          <w:color w:val="000000"/>
          <w:sz w:val="28"/>
          <w:szCs w:val="28"/>
          <w:lang w:eastAsia="vi-VN"/>
        </w:rPr>
        <w:t>Lãi suất cho vay tín dụng đầu tư của Nhà nước bằng đồng Việt Nam là 9,6%/năm.</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b/>
          <w:bCs/>
          <w:color w:val="000000"/>
          <w:sz w:val="28"/>
          <w:szCs w:val="28"/>
          <w:lang w:eastAsia="vi-VN"/>
        </w:rPr>
        <w:t>Điều 2.</w:t>
      </w:r>
      <w:r w:rsidRPr="00173B7E">
        <w:rPr>
          <w:rFonts w:asciiTheme="majorHAnsi" w:eastAsia="Times New Roman" w:hAnsiTheme="majorHAnsi" w:cstheme="majorHAnsi"/>
          <w:color w:val="000000"/>
          <w:sz w:val="28"/>
          <w:szCs w:val="28"/>
          <w:lang w:eastAsia="vi-VN"/>
        </w:rPr>
        <w:t> Lãi suất cho vay tín dụng xuất khẩu của Nhà nước bằng đồng Việt Nam là 7,2%/năm.</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b/>
          <w:bCs/>
          <w:color w:val="000000"/>
          <w:sz w:val="28"/>
          <w:szCs w:val="28"/>
          <w:lang w:eastAsia="vi-VN"/>
        </w:rPr>
        <w:t>Điều 3.</w:t>
      </w:r>
      <w:r w:rsidRPr="00173B7E">
        <w:rPr>
          <w:rFonts w:asciiTheme="majorHAnsi" w:eastAsia="Times New Roman" w:hAnsiTheme="majorHAnsi" w:cstheme="majorHAnsi"/>
          <w:color w:val="000000"/>
          <w:sz w:val="28"/>
          <w:szCs w:val="28"/>
          <w:lang w:eastAsia="vi-VN"/>
        </w:rPr>
        <w:t> Mức chênh lệch lãi suất được tính hỗ trợ sau đầu tư đối với dự án vay vốn bằng đồng Việt Nam là 2,4%/năm.</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b/>
          <w:bCs/>
          <w:color w:val="000000"/>
          <w:sz w:val="28"/>
          <w:szCs w:val="28"/>
          <w:lang w:eastAsia="vi-VN"/>
        </w:rPr>
        <w:t>Điều 4. </w:t>
      </w:r>
      <w:r w:rsidRPr="00173B7E">
        <w:rPr>
          <w:rFonts w:asciiTheme="majorHAnsi" w:eastAsia="Times New Roman" w:hAnsiTheme="majorHAnsi" w:cstheme="majorHAnsi"/>
          <w:color w:val="000000"/>
          <w:sz w:val="28"/>
          <w:szCs w:val="28"/>
          <w:lang w:eastAsia="vi-VN"/>
        </w:rPr>
        <w:t>Lãi suất cho vay tín dụng đầu tư, tín dụng xuất khẩu của Nhà nước quy định tại Điều 1, Điều 2 Thông tư này được áp dụng đối với các khoản giải ngân vốn vay tín dụng đầu tư, tín dụng xuất khẩu của Nhà nước kể từ ngày Thông tư này có hiệu lực thi hành; mức chênh lệch lãi suất được tính hỗ trợ sau đầu tư quy định tại Điều 3 Thông tư này được áp dụng theo từng lần trả nợ của chủ đầu tư cho tổ chức tín dụng kể từ ngày Thông tư này có hiệu lực thi hành.</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b/>
          <w:bCs/>
          <w:color w:val="000000"/>
          <w:sz w:val="28"/>
          <w:szCs w:val="28"/>
          <w:lang w:eastAsia="vi-VN"/>
        </w:rPr>
        <w:t>Điều 5. </w:t>
      </w:r>
      <w:r w:rsidRPr="00173B7E">
        <w:rPr>
          <w:rFonts w:asciiTheme="majorHAnsi" w:eastAsia="Times New Roman" w:hAnsiTheme="majorHAnsi" w:cstheme="majorHAnsi"/>
          <w:color w:val="000000"/>
          <w:sz w:val="28"/>
          <w:szCs w:val="28"/>
          <w:lang w:eastAsia="vi-VN"/>
        </w:rPr>
        <w:t>Hiệu lực thi hành</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color w:val="000000"/>
          <w:sz w:val="28"/>
          <w:szCs w:val="28"/>
          <w:lang w:eastAsia="vi-VN"/>
        </w:rPr>
        <w:t>1. Thông tư này có hiệu lực thi hành kể từ ngày ký.</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color w:val="000000"/>
          <w:sz w:val="28"/>
          <w:szCs w:val="28"/>
          <w:lang w:eastAsia="vi-VN"/>
        </w:rPr>
        <w:t>2. Thông tư này thay thế Thông tư số 108/2014/TT-BTC ngày 11/08/2014 về việc quy định lãi suất cho vay tín dụng đầu tư, tín dụng xuất khẩu của Nhà nước và mức chênh lệch lãi suất được tính hỗ trợ sau đầu tư.</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color w:val="000000"/>
          <w:sz w:val="28"/>
          <w:szCs w:val="28"/>
          <w:lang w:eastAsia="vi-VN"/>
        </w:rPr>
        <w:t>3. Hội đồng quản lý, Tổng giám đốc Ngân hàng Phát triển Việt Nam, chủ đầu tư các dự án vay vốn tín dụng đầu tư, tín dụng xuất khẩu của Nhà nước và các đơn vị có liên quan chịu trách nhiệm thi hành quy định tại Thông tư này.</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color w:val="000000"/>
          <w:sz w:val="28"/>
          <w:szCs w:val="28"/>
          <w:lang w:eastAsia="vi-VN"/>
        </w:rPr>
        <w:t>Trong quá trình thực hiện nếu có vướng mắc, đề nghị các tổ chức, cá nhân phản ánh kịp thời về Bộ Tài chính để xem xét, giải quyết./.</w:t>
      </w:r>
    </w:p>
    <w:p w:rsidR="00173B7E" w:rsidRPr="00173B7E" w:rsidRDefault="00173B7E" w:rsidP="00173B7E">
      <w:pPr>
        <w:shd w:val="clear" w:color="auto" w:fill="FFFFFF"/>
        <w:spacing w:after="120" w:line="360" w:lineRule="auto"/>
        <w:jc w:val="center"/>
        <w:rPr>
          <w:rFonts w:asciiTheme="majorHAnsi" w:eastAsia="Times New Roman" w:hAnsiTheme="majorHAnsi" w:cstheme="majorHAnsi"/>
          <w:color w:val="000000"/>
          <w:sz w:val="28"/>
          <w:szCs w:val="28"/>
          <w:lang w:eastAsia="vi-VN"/>
        </w:rPr>
      </w:pPr>
    </w:p>
    <w:tbl>
      <w:tblPr>
        <w:tblW w:w="0" w:type="auto"/>
        <w:tblCellSpacing w:w="0" w:type="dxa"/>
        <w:shd w:val="clear" w:color="auto" w:fill="FFFFFF"/>
        <w:tblCellMar>
          <w:left w:w="0" w:type="dxa"/>
          <w:right w:w="0" w:type="dxa"/>
        </w:tblCellMar>
        <w:tblLook w:val="04A0"/>
      </w:tblPr>
      <w:tblGrid>
        <w:gridCol w:w="4548"/>
        <w:gridCol w:w="4308"/>
      </w:tblGrid>
      <w:tr w:rsidR="00173B7E" w:rsidRPr="00173B7E" w:rsidTr="00173B7E">
        <w:trPr>
          <w:tblCellSpacing w:w="0" w:type="dxa"/>
        </w:trPr>
        <w:tc>
          <w:tcPr>
            <w:tcW w:w="4548" w:type="dxa"/>
            <w:shd w:val="clear" w:color="auto" w:fill="FFFFFF"/>
            <w:tcMar>
              <w:top w:w="0" w:type="dxa"/>
              <w:left w:w="108" w:type="dxa"/>
              <w:bottom w:w="0" w:type="dxa"/>
              <w:right w:w="108" w:type="dxa"/>
            </w:tcMar>
            <w:hideMark/>
          </w:tcPr>
          <w:p w:rsidR="00173B7E" w:rsidRPr="00173B7E" w:rsidRDefault="00173B7E" w:rsidP="00173B7E">
            <w:pPr>
              <w:spacing w:after="120" w:line="360" w:lineRule="auto"/>
              <w:jc w:val="center"/>
              <w:rPr>
                <w:rFonts w:asciiTheme="majorHAnsi" w:eastAsia="Times New Roman" w:hAnsiTheme="majorHAnsi" w:cstheme="majorHAnsi"/>
                <w:color w:val="000000"/>
                <w:sz w:val="28"/>
                <w:szCs w:val="28"/>
                <w:lang w:eastAsia="vi-VN"/>
              </w:rPr>
            </w:pPr>
          </w:p>
          <w:p w:rsidR="00173B7E" w:rsidRPr="00173B7E" w:rsidRDefault="00173B7E" w:rsidP="00173B7E">
            <w:pPr>
              <w:spacing w:after="120" w:line="360" w:lineRule="auto"/>
              <w:jc w:val="center"/>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b/>
                <w:bCs/>
                <w:i/>
                <w:iCs/>
                <w:color w:val="000000"/>
                <w:sz w:val="28"/>
                <w:szCs w:val="28"/>
                <w:lang w:eastAsia="vi-VN"/>
              </w:rPr>
              <w:t>Nơi nhận:</w:t>
            </w:r>
            <w:r w:rsidRPr="00173B7E">
              <w:rPr>
                <w:rFonts w:asciiTheme="majorHAnsi" w:eastAsia="Times New Roman" w:hAnsiTheme="majorHAnsi" w:cstheme="majorHAnsi"/>
                <w:b/>
                <w:bCs/>
                <w:i/>
                <w:iCs/>
                <w:color w:val="000000"/>
                <w:sz w:val="28"/>
                <w:szCs w:val="28"/>
                <w:lang w:eastAsia="vi-VN"/>
              </w:rPr>
              <w:br/>
            </w:r>
            <w:r w:rsidRPr="00173B7E">
              <w:rPr>
                <w:rFonts w:asciiTheme="majorHAnsi" w:eastAsia="Times New Roman" w:hAnsiTheme="majorHAnsi" w:cstheme="majorHAnsi"/>
                <w:color w:val="000000"/>
                <w:sz w:val="28"/>
                <w:szCs w:val="28"/>
                <w:lang w:val="nl-NL" w:eastAsia="vi-VN"/>
              </w:rPr>
              <w:t>- Thủ tướng, các Phó Thủ tướng Chính phủ;</w:t>
            </w:r>
            <w:r w:rsidRPr="00173B7E">
              <w:rPr>
                <w:rFonts w:asciiTheme="majorHAnsi" w:eastAsia="Times New Roman" w:hAnsiTheme="majorHAnsi" w:cstheme="majorHAnsi"/>
                <w:color w:val="000000"/>
                <w:sz w:val="28"/>
                <w:szCs w:val="28"/>
                <w:lang w:val="nl-NL" w:eastAsia="vi-VN"/>
              </w:rPr>
              <w:br/>
              <w:t>- VP Trung ương và các Ban của Đảng;</w:t>
            </w:r>
            <w:r w:rsidRPr="00173B7E">
              <w:rPr>
                <w:rFonts w:asciiTheme="majorHAnsi" w:eastAsia="Times New Roman" w:hAnsiTheme="majorHAnsi" w:cstheme="majorHAnsi"/>
                <w:color w:val="000000"/>
                <w:sz w:val="28"/>
                <w:szCs w:val="28"/>
                <w:lang w:val="nl-NL" w:eastAsia="vi-VN"/>
              </w:rPr>
              <w:br/>
              <w:t>- VP Tổng bí thư;</w:t>
            </w:r>
            <w:r w:rsidRPr="00173B7E">
              <w:rPr>
                <w:rFonts w:asciiTheme="majorHAnsi" w:eastAsia="Times New Roman" w:hAnsiTheme="majorHAnsi" w:cstheme="majorHAnsi"/>
                <w:color w:val="000000"/>
                <w:sz w:val="28"/>
                <w:szCs w:val="28"/>
                <w:lang w:val="nl-NL" w:eastAsia="vi-VN"/>
              </w:rPr>
              <w:br/>
              <w:t>- VP Quốc hội;</w:t>
            </w:r>
            <w:r w:rsidRPr="00173B7E">
              <w:rPr>
                <w:rFonts w:asciiTheme="majorHAnsi" w:eastAsia="Times New Roman" w:hAnsiTheme="majorHAnsi" w:cstheme="majorHAnsi"/>
                <w:color w:val="000000"/>
                <w:sz w:val="28"/>
                <w:szCs w:val="28"/>
                <w:lang w:val="nl-NL" w:eastAsia="vi-VN"/>
              </w:rPr>
              <w:br/>
              <w:t>- VP Chủ tịch nước;</w:t>
            </w:r>
            <w:r w:rsidRPr="00173B7E">
              <w:rPr>
                <w:rFonts w:asciiTheme="majorHAnsi" w:eastAsia="Times New Roman" w:hAnsiTheme="majorHAnsi" w:cstheme="majorHAnsi"/>
                <w:color w:val="000000"/>
                <w:sz w:val="28"/>
                <w:szCs w:val="28"/>
                <w:lang w:val="nl-NL" w:eastAsia="vi-VN"/>
              </w:rPr>
              <w:br/>
              <w:t>- Viện Kiểm soát nhân dân tối cao;</w:t>
            </w:r>
            <w:r w:rsidRPr="00173B7E">
              <w:rPr>
                <w:rFonts w:asciiTheme="majorHAnsi" w:eastAsia="Times New Roman" w:hAnsiTheme="majorHAnsi" w:cstheme="majorHAnsi"/>
                <w:color w:val="000000"/>
                <w:sz w:val="28"/>
                <w:szCs w:val="28"/>
                <w:lang w:val="nl-NL" w:eastAsia="vi-VN"/>
              </w:rPr>
              <w:br/>
              <w:t>- Toà án nhân dân tối cao;</w:t>
            </w:r>
            <w:r w:rsidRPr="00173B7E">
              <w:rPr>
                <w:rFonts w:asciiTheme="majorHAnsi" w:eastAsia="Times New Roman" w:hAnsiTheme="majorHAnsi" w:cstheme="majorHAnsi"/>
                <w:color w:val="000000"/>
                <w:sz w:val="28"/>
                <w:szCs w:val="28"/>
                <w:lang w:val="nl-NL" w:eastAsia="vi-VN"/>
              </w:rPr>
              <w:br/>
              <w:t>- VP ban chỉ đạo TW về phòng, chống tham nhũng;</w:t>
            </w:r>
            <w:r w:rsidRPr="00173B7E">
              <w:rPr>
                <w:rFonts w:asciiTheme="majorHAnsi" w:eastAsia="Times New Roman" w:hAnsiTheme="majorHAnsi" w:cstheme="majorHAnsi"/>
                <w:color w:val="000000"/>
                <w:sz w:val="28"/>
                <w:szCs w:val="28"/>
                <w:lang w:val="nl-NL" w:eastAsia="vi-VN"/>
              </w:rPr>
              <w:br/>
              <w:t>- Các Bộ, cơ quan ngang Bộ, cơ quan thuộc CP;</w:t>
            </w:r>
            <w:r w:rsidRPr="00173B7E">
              <w:rPr>
                <w:rFonts w:asciiTheme="majorHAnsi" w:eastAsia="Times New Roman" w:hAnsiTheme="majorHAnsi" w:cstheme="majorHAnsi"/>
                <w:color w:val="000000"/>
                <w:sz w:val="28"/>
                <w:szCs w:val="28"/>
                <w:lang w:val="nl-NL" w:eastAsia="vi-VN"/>
              </w:rPr>
              <w:br/>
              <w:t>- Cơ quan Trung ương của các đoàn thể;</w:t>
            </w:r>
            <w:r w:rsidRPr="00173B7E">
              <w:rPr>
                <w:rFonts w:asciiTheme="majorHAnsi" w:eastAsia="Times New Roman" w:hAnsiTheme="majorHAnsi" w:cstheme="majorHAnsi"/>
                <w:color w:val="000000"/>
                <w:sz w:val="28"/>
                <w:szCs w:val="28"/>
                <w:lang w:val="nl-NL" w:eastAsia="vi-VN"/>
              </w:rPr>
              <w:br/>
              <w:t>- Kiểm toán Nhà nước;</w:t>
            </w:r>
            <w:r w:rsidRPr="00173B7E">
              <w:rPr>
                <w:rFonts w:asciiTheme="majorHAnsi" w:eastAsia="Times New Roman" w:hAnsiTheme="majorHAnsi" w:cstheme="majorHAnsi"/>
                <w:color w:val="000000"/>
                <w:sz w:val="28"/>
                <w:szCs w:val="28"/>
                <w:lang w:val="nl-NL" w:eastAsia="vi-VN"/>
              </w:rPr>
              <w:br/>
              <w:t>- Ngân hàng Phát triển Việt Nam;</w:t>
            </w:r>
            <w:r w:rsidRPr="00173B7E">
              <w:rPr>
                <w:rFonts w:asciiTheme="majorHAnsi" w:eastAsia="Times New Roman" w:hAnsiTheme="majorHAnsi" w:cstheme="majorHAnsi"/>
                <w:color w:val="000000"/>
                <w:sz w:val="28"/>
                <w:szCs w:val="28"/>
                <w:lang w:val="nl-NL" w:eastAsia="vi-VN"/>
              </w:rPr>
              <w:br/>
              <w:t>- Công báo;</w:t>
            </w:r>
            <w:r w:rsidRPr="00173B7E">
              <w:rPr>
                <w:rFonts w:asciiTheme="majorHAnsi" w:eastAsia="Times New Roman" w:hAnsiTheme="majorHAnsi" w:cstheme="majorHAnsi"/>
                <w:color w:val="000000"/>
                <w:sz w:val="28"/>
                <w:szCs w:val="28"/>
                <w:lang w:val="nl-NL" w:eastAsia="vi-VN"/>
              </w:rPr>
              <w:br/>
              <w:t>- Website Chính phủ, Website BTC;</w:t>
            </w:r>
            <w:r w:rsidRPr="00173B7E">
              <w:rPr>
                <w:rFonts w:asciiTheme="majorHAnsi" w:eastAsia="Times New Roman" w:hAnsiTheme="majorHAnsi" w:cstheme="majorHAnsi"/>
                <w:color w:val="000000"/>
                <w:sz w:val="28"/>
                <w:szCs w:val="28"/>
                <w:lang w:val="nl-NL" w:eastAsia="vi-VN"/>
              </w:rPr>
              <w:br/>
              <w:t>- HĐND, UBND tỉnh, TP trực thuộc TW;</w:t>
            </w:r>
            <w:r w:rsidRPr="00173B7E">
              <w:rPr>
                <w:rFonts w:asciiTheme="majorHAnsi" w:eastAsia="Times New Roman" w:hAnsiTheme="majorHAnsi" w:cstheme="majorHAnsi"/>
                <w:color w:val="000000"/>
                <w:sz w:val="28"/>
                <w:szCs w:val="28"/>
                <w:lang w:val="nl-NL" w:eastAsia="vi-VN"/>
              </w:rPr>
              <w:br/>
              <w:t>- Cục kiểm tra văn bản (Bộ Tư pháp);</w:t>
            </w:r>
            <w:r w:rsidRPr="00173B7E">
              <w:rPr>
                <w:rFonts w:asciiTheme="majorHAnsi" w:eastAsia="Times New Roman" w:hAnsiTheme="majorHAnsi" w:cstheme="majorHAnsi"/>
                <w:color w:val="000000"/>
                <w:sz w:val="28"/>
                <w:szCs w:val="28"/>
                <w:lang w:val="nl-NL" w:eastAsia="vi-VN"/>
              </w:rPr>
              <w:br/>
            </w:r>
            <w:r w:rsidRPr="00173B7E">
              <w:rPr>
                <w:rFonts w:asciiTheme="majorHAnsi" w:eastAsia="Times New Roman" w:hAnsiTheme="majorHAnsi" w:cstheme="majorHAnsi"/>
                <w:color w:val="000000"/>
                <w:sz w:val="28"/>
                <w:szCs w:val="28"/>
                <w:lang w:val="nl-NL" w:eastAsia="vi-VN"/>
              </w:rPr>
              <w:lastRenderedPageBreak/>
              <w:t>- Các đơn vị thuộc Bộ Tài chính;</w:t>
            </w:r>
            <w:r w:rsidRPr="00173B7E">
              <w:rPr>
                <w:rFonts w:asciiTheme="majorHAnsi" w:eastAsia="Times New Roman" w:hAnsiTheme="majorHAnsi" w:cstheme="majorHAnsi"/>
                <w:color w:val="000000"/>
                <w:sz w:val="28"/>
                <w:szCs w:val="28"/>
                <w:lang w:val="nl-NL" w:eastAsia="vi-VN"/>
              </w:rPr>
              <w:br/>
              <w:t>- Lưu VT, Vụ TCNH;</w:t>
            </w:r>
          </w:p>
        </w:tc>
        <w:tc>
          <w:tcPr>
            <w:tcW w:w="4308" w:type="dxa"/>
            <w:shd w:val="clear" w:color="auto" w:fill="FFFFFF"/>
            <w:tcMar>
              <w:top w:w="0" w:type="dxa"/>
              <w:left w:w="108" w:type="dxa"/>
              <w:bottom w:w="0" w:type="dxa"/>
              <w:right w:w="108" w:type="dxa"/>
            </w:tcMar>
            <w:hideMark/>
          </w:tcPr>
          <w:p w:rsidR="00173B7E" w:rsidRPr="00173B7E" w:rsidRDefault="00173B7E" w:rsidP="00173B7E">
            <w:pPr>
              <w:spacing w:after="120" w:line="360" w:lineRule="auto"/>
              <w:jc w:val="center"/>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b/>
                <w:bCs/>
                <w:color w:val="000000"/>
                <w:sz w:val="28"/>
                <w:szCs w:val="28"/>
                <w:lang w:val="nl-NL" w:eastAsia="vi-VN"/>
              </w:rPr>
              <w:lastRenderedPageBreak/>
              <w:t>KT. BỘ TRƯỞNG</w:t>
            </w:r>
            <w:r w:rsidRPr="00173B7E">
              <w:rPr>
                <w:rFonts w:asciiTheme="majorHAnsi" w:eastAsia="Times New Roman" w:hAnsiTheme="majorHAnsi" w:cstheme="majorHAnsi"/>
                <w:b/>
                <w:bCs/>
                <w:color w:val="000000"/>
                <w:sz w:val="28"/>
                <w:szCs w:val="28"/>
                <w:lang w:val="nl-NL" w:eastAsia="vi-VN"/>
              </w:rPr>
              <w:br/>
              <w:t>THỨ TRƯỞNG</w:t>
            </w:r>
            <w:r w:rsidRPr="00173B7E">
              <w:rPr>
                <w:rFonts w:asciiTheme="majorHAnsi" w:eastAsia="Times New Roman" w:hAnsiTheme="majorHAnsi" w:cstheme="majorHAnsi"/>
                <w:b/>
                <w:bCs/>
                <w:color w:val="000000"/>
                <w:sz w:val="28"/>
                <w:szCs w:val="28"/>
                <w:lang w:val="nl-NL" w:eastAsia="vi-VN"/>
              </w:rPr>
              <w:br/>
            </w:r>
            <w:r w:rsidRPr="00173B7E">
              <w:rPr>
                <w:rFonts w:asciiTheme="majorHAnsi" w:eastAsia="Times New Roman" w:hAnsiTheme="majorHAnsi" w:cstheme="majorHAnsi"/>
                <w:b/>
                <w:bCs/>
                <w:color w:val="000000"/>
                <w:sz w:val="28"/>
                <w:szCs w:val="28"/>
                <w:lang w:val="nl-NL" w:eastAsia="vi-VN"/>
              </w:rPr>
              <w:br/>
            </w:r>
            <w:r w:rsidRPr="00173B7E">
              <w:rPr>
                <w:rFonts w:asciiTheme="majorHAnsi" w:eastAsia="Times New Roman" w:hAnsiTheme="majorHAnsi" w:cstheme="majorHAnsi"/>
                <w:b/>
                <w:bCs/>
                <w:color w:val="000000"/>
                <w:sz w:val="28"/>
                <w:szCs w:val="28"/>
                <w:lang w:val="nl-NL" w:eastAsia="vi-VN"/>
              </w:rPr>
              <w:br/>
            </w:r>
            <w:r w:rsidRPr="00173B7E">
              <w:rPr>
                <w:rFonts w:asciiTheme="majorHAnsi" w:eastAsia="Times New Roman" w:hAnsiTheme="majorHAnsi" w:cstheme="majorHAnsi"/>
                <w:b/>
                <w:bCs/>
                <w:color w:val="000000"/>
                <w:sz w:val="28"/>
                <w:szCs w:val="28"/>
                <w:lang w:val="nl-NL" w:eastAsia="vi-VN"/>
              </w:rPr>
              <w:br/>
            </w:r>
            <w:r w:rsidRPr="00173B7E">
              <w:rPr>
                <w:rFonts w:asciiTheme="majorHAnsi" w:eastAsia="Times New Roman" w:hAnsiTheme="majorHAnsi" w:cstheme="majorHAnsi"/>
                <w:b/>
                <w:bCs/>
                <w:color w:val="000000"/>
                <w:sz w:val="28"/>
                <w:szCs w:val="28"/>
                <w:lang w:val="nl-NL" w:eastAsia="vi-VN"/>
              </w:rPr>
              <w:br/>
              <w:t>Trần Xuân Hà</w:t>
            </w:r>
          </w:p>
        </w:tc>
      </w:tr>
    </w:tbl>
    <w:p w:rsidR="00173B7E" w:rsidRPr="00173B7E" w:rsidRDefault="00173B7E" w:rsidP="00173B7E">
      <w:pPr>
        <w:shd w:val="clear" w:color="auto" w:fill="FFFFFF"/>
        <w:spacing w:after="120" w:line="360" w:lineRule="auto"/>
        <w:jc w:val="center"/>
        <w:rPr>
          <w:rFonts w:asciiTheme="majorHAnsi" w:eastAsia="Times New Roman" w:hAnsiTheme="majorHAnsi" w:cstheme="majorHAnsi"/>
          <w:color w:val="000000"/>
          <w:sz w:val="28"/>
          <w:szCs w:val="28"/>
          <w:lang w:eastAsia="vi-VN"/>
        </w:rPr>
      </w:pPr>
    </w:p>
    <w:p w:rsidR="00DF049D" w:rsidRPr="00173B7E" w:rsidRDefault="00DF049D" w:rsidP="00173B7E">
      <w:pPr>
        <w:spacing w:line="360" w:lineRule="auto"/>
        <w:jc w:val="center"/>
        <w:rPr>
          <w:rFonts w:asciiTheme="majorHAnsi" w:hAnsiTheme="majorHAnsi" w:cstheme="majorHAnsi"/>
          <w:sz w:val="28"/>
          <w:szCs w:val="28"/>
        </w:rPr>
      </w:pPr>
    </w:p>
    <w:sectPr w:rsidR="00DF049D" w:rsidRPr="00173B7E" w:rsidSect="00DF049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F1D" w:rsidRDefault="003B1F1D" w:rsidP="00173B7E">
      <w:pPr>
        <w:spacing w:after="0" w:line="240" w:lineRule="auto"/>
      </w:pPr>
      <w:r>
        <w:separator/>
      </w:r>
    </w:p>
  </w:endnote>
  <w:endnote w:type="continuationSeparator" w:id="1">
    <w:p w:rsidR="003B1F1D" w:rsidRDefault="003B1F1D" w:rsidP="00173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7E" w:rsidRDefault="00173B7E" w:rsidP="00173B7E">
    <w:pPr>
      <w:pStyle w:val="Footer"/>
      <w:rPr>
        <w:rFonts w:ascii="Times New Roman" w:hAnsi="Times New Roman"/>
      </w:rPr>
    </w:pPr>
    <w:r>
      <w:rPr>
        <w:rFonts w:ascii="Times New Roman" w:hAnsi="Times New Roman"/>
        <w:b/>
        <w:color w:val="FF0000"/>
      </w:rPr>
      <w:t>TỔNG ĐÀI TƯ VẤN PHÁP LUẬT TRỰC TUYẾN 24/7: 1900.6190 – 1900.6568</w:t>
    </w:r>
  </w:p>
  <w:p w:rsidR="00173B7E" w:rsidRDefault="00173B7E" w:rsidP="00173B7E">
    <w:pPr>
      <w:pStyle w:val="Footer"/>
      <w:rPr>
        <w:rFonts w:ascii="Times New Roman" w:hAnsi="Times New Roman"/>
      </w:rPr>
    </w:pPr>
  </w:p>
  <w:p w:rsidR="00173B7E" w:rsidRDefault="00173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F1D" w:rsidRDefault="003B1F1D" w:rsidP="00173B7E">
      <w:pPr>
        <w:spacing w:after="0" w:line="240" w:lineRule="auto"/>
      </w:pPr>
      <w:r>
        <w:separator/>
      </w:r>
    </w:p>
  </w:footnote>
  <w:footnote w:type="continuationSeparator" w:id="1">
    <w:p w:rsidR="003B1F1D" w:rsidRDefault="003B1F1D" w:rsidP="00173B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73B7E" w:rsidTr="00173B7E">
      <w:trPr>
        <w:trHeight w:val="1208"/>
      </w:trPr>
      <w:tc>
        <w:tcPr>
          <w:tcW w:w="2411" w:type="dxa"/>
          <w:tcBorders>
            <w:top w:val="nil"/>
            <w:left w:val="nil"/>
            <w:bottom w:val="single" w:sz="4" w:space="0" w:color="auto"/>
            <w:right w:val="nil"/>
          </w:tcBorders>
          <w:vAlign w:val="center"/>
          <w:hideMark/>
        </w:tcPr>
        <w:p w:rsidR="00173B7E" w:rsidRDefault="00173B7E">
          <w:pPr>
            <w:rPr>
              <w:rFonts w:ascii="Times New Roman" w:hAnsi="Times New Roman"/>
              <w:b/>
              <w:sz w:val="20"/>
              <w:lang w:val="en-US"/>
            </w:rPr>
          </w:pPr>
          <w:r>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73B7E" w:rsidRDefault="00173B7E">
          <w:pPr>
            <w:pStyle w:val="Heading6"/>
            <w:spacing w:before="0"/>
            <w:rPr>
              <w:rFonts w:ascii="Times New Roman" w:hAnsi="Times New Roman"/>
              <w:sz w:val="20"/>
              <w:lang w:val="en-US" w:eastAsia="en-US"/>
            </w:rPr>
          </w:pPr>
          <w:r>
            <w:rPr>
              <w:rFonts w:ascii="Times New Roman" w:hAnsi="Times New Roman"/>
              <w:sz w:val="20"/>
              <w:lang w:val="en-US" w:eastAsia="en-US"/>
            </w:rPr>
            <w:t xml:space="preserve">CÔNG TY LUẬT TNHH DƯƠNG GIA – DUONG GIA LAW COMPANY LIMITED </w:t>
          </w:r>
        </w:p>
        <w:p w:rsidR="00173B7E" w:rsidRDefault="00173B7E">
          <w:pPr>
            <w:rPr>
              <w:rFonts w:ascii="Times New Roman" w:hAnsi="Times New Roman"/>
              <w:sz w:val="20"/>
              <w:lang w:val="en-US"/>
            </w:rPr>
          </w:pPr>
          <w:r>
            <w:rPr>
              <w:rFonts w:ascii="Times New Roman" w:hAnsi="Times New Roman"/>
              <w:sz w:val="20"/>
            </w:rPr>
            <w:t>No 2305, VNT Tower, 19  Nguyen Trai Street, Thanh Xuan District, Hanoi City, Viet Nam</w:t>
          </w:r>
        </w:p>
        <w:p w:rsidR="00173B7E" w:rsidRDefault="00173B7E">
          <w:pPr>
            <w:rPr>
              <w:rFonts w:ascii="Times New Roman" w:hAnsi="Times New Roman"/>
              <w:sz w:val="20"/>
            </w:rPr>
          </w:pPr>
          <w:r>
            <w:rPr>
              <w:rFonts w:ascii="Times New Roman" w:hAnsi="Times New Roman"/>
              <w:sz w:val="20"/>
            </w:rPr>
            <w:t>Tel:   1900.6190 – 1900.6568        Fax: 04.3562.7716</w:t>
          </w:r>
        </w:p>
        <w:p w:rsidR="00173B7E" w:rsidRDefault="00173B7E">
          <w:pPr>
            <w:rPr>
              <w:rFonts w:ascii="Times New Roman" w:hAnsi="Times New Roman"/>
              <w:sz w:val="20"/>
              <w:lang w:val="en-US"/>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p>
      </w:tc>
    </w:tr>
  </w:tbl>
  <w:p w:rsidR="00173B7E" w:rsidRDefault="00173B7E" w:rsidP="00173B7E">
    <w:pPr>
      <w:pStyle w:val="Header"/>
      <w:rPr>
        <w:rFonts w:ascii="Times New Roman" w:hAnsi="Times New Roman"/>
        <w:lang/>
      </w:rPr>
    </w:pPr>
  </w:p>
  <w:p w:rsidR="00173B7E" w:rsidRDefault="00173B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3B7E"/>
    <w:rsid w:val="00173B7E"/>
    <w:rsid w:val="001E4B3A"/>
    <w:rsid w:val="003B1F1D"/>
    <w:rsid w:val="00DF049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9D"/>
  </w:style>
  <w:style w:type="paragraph" w:styleId="Heading6">
    <w:name w:val="heading 6"/>
    <w:basedOn w:val="Normal"/>
    <w:next w:val="Normal"/>
    <w:link w:val="Heading6Char"/>
    <w:semiHidden/>
    <w:unhideWhenUsed/>
    <w:qFormat/>
    <w:rsid w:val="00173B7E"/>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B7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173B7E"/>
  </w:style>
  <w:style w:type="paragraph" w:styleId="Header">
    <w:name w:val="header"/>
    <w:basedOn w:val="Normal"/>
    <w:link w:val="HeaderChar"/>
    <w:semiHidden/>
    <w:unhideWhenUsed/>
    <w:rsid w:val="00173B7E"/>
    <w:pPr>
      <w:tabs>
        <w:tab w:val="center" w:pos="4513"/>
        <w:tab w:val="right" w:pos="9026"/>
      </w:tabs>
      <w:spacing w:after="0" w:line="240" w:lineRule="auto"/>
    </w:pPr>
  </w:style>
  <w:style w:type="character" w:customStyle="1" w:styleId="HeaderChar">
    <w:name w:val="Header Char"/>
    <w:basedOn w:val="DefaultParagraphFont"/>
    <w:link w:val="Header"/>
    <w:semiHidden/>
    <w:rsid w:val="00173B7E"/>
  </w:style>
  <w:style w:type="paragraph" w:styleId="Footer">
    <w:name w:val="footer"/>
    <w:basedOn w:val="Normal"/>
    <w:link w:val="FooterChar"/>
    <w:uiPriority w:val="99"/>
    <w:semiHidden/>
    <w:unhideWhenUsed/>
    <w:rsid w:val="00173B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3B7E"/>
  </w:style>
  <w:style w:type="character" w:customStyle="1" w:styleId="Heading6Char">
    <w:name w:val="Heading 6 Char"/>
    <w:basedOn w:val="DefaultParagraphFont"/>
    <w:link w:val="Heading6"/>
    <w:semiHidden/>
    <w:rsid w:val="00173B7E"/>
    <w:rPr>
      <w:rFonts w:ascii="Calibri" w:eastAsia="Times New Roman" w:hAnsi="Calibri" w:cs="Times New Roman"/>
      <w:b/>
      <w:bCs/>
      <w:lang/>
    </w:rPr>
  </w:style>
  <w:style w:type="character" w:styleId="Hyperlink">
    <w:name w:val="Hyperlink"/>
    <w:uiPriority w:val="99"/>
    <w:semiHidden/>
    <w:unhideWhenUsed/>
    <w:rsid w:val="00173B7E"/>
    <w:rPr>
      <w:color w:val="0000FF"/>
      <w:u w:val="single"/>
    </w:rPr>
  </w:style>
  <w:style w:type="paragraph" w:styleId="BalloonText">
    <w:name w:val="Balloon Text"/>
    <w:basedOn w:val="Normal"/>
    <w:link w:val="BalloonTextChar"/>
    <w:uiPriority w:val="99"/>
    <w:semiHidden/>
    <w:unhideWhenUsed/>
    <w:rsid w:val="00173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38016">
      <w:bodyDiv w:val="1"/>
      <w:marLeft w:val="0"/>
      <w:marRight w:val="0"/>
      <w:marTop w:val="0"/>
      <w:marBottom w:val="0"/>
      <w:divBdr>
        <w:top w:val="none" w:sz="0" w:space="0" w:color="auto"/>
        <w:left w:val="none" w:sz="0" w:space="0" w:color="auto"/>
        <w:bottom w:val="none" w:sz="0" w:space="0" w:color="auto"/>
        <w:right w:val="none" w:sz="0" w:space="0" w:color="auto"/>
      </w:divBdr>
    </w:div>
    <w:div w:id="1026717910">
      <w:bodyDiv w:val="1"/>
      <w:marLeft w:val="0"/>
      <w:marRight w:val="0"/>
      <w:marTop w:val="0"/>
      <w:marBottom w:val="0"/>
      <w:divBdr>
        <w:top w:val="none" w:sz="0" w:space="0" w:color="auto"/>
        <w:left w:val="none" w:sz="0" w:space="0" w:color="auto"/>
        <w:bottom w:val="none" w:sz="0" w:space="0" w:color="auto"/>
        <w:right w:val="none" w:sz="0" w:space="0" w:color="auto"/>
      </w:divBdr>
    </w:div>
    <w:div w:id="10455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2</cp:revision>
  <dcterms:created xsi:type="dcterms:W3CDTF">2015-07-07T02:15:00Z</dcterms:created>
  <dcterms:modified xsi:type="dcterms:W3CDTF">2015-07-07T02:38:00Z</dcterms:modified>
</cp:coreProperties>
</file>