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061D3E" w:rsidRPr="00061D3E" w:rsidTr="00061D3E">
        <w:trPr>
          <w:tblCellSpacing w:w="0" w:type="dxa"/>
        </w:trPr>
        <w:tc>
          <w:tcPr>
            <w:tcW w:w="3348" w:type="dxa"/>
            <w:shd w:val="clear" w:color="auto" w:fill="FFFFFF"/>
            <w:tcMar>
              <w:top w:w="0" w:type="dxa"/>
              <w:left w:w="108" w:type="dxa"/>
              <w:bottom w:w="0" w:type="dxa"/>
              <w:right w:w="108" w:type="dxa"/>
            </w:tcMar>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BỘ THÔNG TIN VÀ </w:t>
            </w:r>
            <w:r w:rsidRPr="00061D3E">
              <w:rPr>
                <w:rFonts w:asciiTheme="majorHAnsi" w:eastAsia="Times New Roman" w:hAnsiTheme="majorHAnsi" w:cstheme="majorHAnsi"/>
                <w:b/>
                <w:bCs/>
                <w:color w:val="000000"/>
                <w:sz w:val="28"/>
                <w:szCs w:val="28"/>
                <w:vertAlign w:val="superscript"/>
                <w:lang w:eastAsia="vi-VN"/>
              </w:rPr>
              <w:br/>
              <w:t>TRUYỀN THÔNG</w:t>
            </w:r>
            <w:r w:rsidRPr="00061D3E">
              <w:rPr>
                <w:rFonts w:asciiTheme="majorHAnsi" w:eastAsia="Times New Roman" w:hAnsiTheme="majorHAnsi" w:cstheme="majorHAnsi"/>
                <w:b/>
                <w:bCs/>
                <w:color w:val="000000"/>
                <w:sz w:val="28"/>
                <w:szCs w:val="28"/>
                <w:vertAlign w:val="superscript"/>
                <w:lang w:eastAsia="vi-VN"/>
              </w:rPr>
              <w:br/>
              <w:t>-------</w:t>
            </w:r>
          </w:p>
        </w:tc>
        <w:tc>
          <w:tcPr>
            <w:tcW w:w="5508" w:type="dxa"/>
            <w:shd w:val="clear" w:color="auto" w:fill="FFFFFF"/>
            <w:tcMar>
              <w:top w:w="0" w:type="dxa"/>
              <w:left w:w="108" w:type="dxa"/>
              <w:bottom w:w="0" w:type="dxa"/>
              <w:right w:w="108" w:type="dxa"/>
            </w:tcMar>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CỘNG HÒA XÃ HỘI CHỦ NGHĨA VIỆT NAM</w:t>
            </w:r>
            <w:r w:rsidRPr="00061D3E">
              <w:rPr>
                <w:rFonts w:asciiTheme="majorHAnsi" w:eastAsia="Times New Roman" w:hAnsiTheme="majorHAnsi" w:cstheme="majorHAnsi"/>
                <w:b/>
                <w:bCs/>
                <w:color w:val="000000"/>
                <w:sz w:val="28"/>
                <w:szCs w:val="28"/>
                <w:vertAlign w:val="superscript"/>
                <w:lang w:eastAsia="vi-VN"/>
              </w:rPr>
              <w:br/>
              <w:t>Độc lập - Tự do - Hạnh phúc </w:t>
            </w:r>
            <w:r w:rsidRPr="00061D3E">
              <w:rPr>
                <w:rFonts w:asciiTheme="majorHAnsi" w:eastAsia="Times New Roman" w:hAnsiTheme="majorHAnsi" w:cstheme="majorHAnsi"/>
                <w:b/>
                <w:bCs/>
                <w:color w:val="000000"/>
                <w:sz w:val="28"/>
                <w:szCs w:val="28"/>
                <w:vertAlign w:val="superscript"/>
                <w:lang w:eastAsia="vi-VN"/>
              </w:rPr>
              <w:br/>
              <w:t>---------------</w:t>
            </w:r>
          </w:p>
        </w:tc>
      </w:tr>
      <w:tr w:rsidR="00061D3E" w:rsidRPr="00061D3E" w:rsidTr="00061D3E">
        <w:trPr>
          <w:tblCellSpacing w:w="0" w:type="dxa"/>
        </w:trPr>
        <w:tc>
          <w:tcPr>
            <w:tcW w:w="3348" w:type="dxa"/>
            <w:shd w:val="clear" w:color="auto" w:fill="FFFFFF"/>
            <w:tcMar>
              <w:top w:w="0" w:type="dxa"/>
              <w:left w:w="108" w:type="dxa"/>
              <w:bottom w:w="0" w:type="dxa"/>
              <w:right w:w="108" w:type="dxa"/>
            </w:tcMar>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Số: 16/2015/TT-BTTTT</w:t>
            </w:r>
          </w:p>
        </w:tc>
        <w:tc>
          <w:tcPr>
            <w:tcW w:w="5508" w:type="dxa"/>
            <w:shd w:val="clear" w:color="auto" w:fill="FFFFFF"/>
            <w:tcMar>
              <w:top w:w="0" w:type="dxa"/>
              <w:left w:w="108" w:type="dxa"/>
              <w:bottom w:w="0" w:type="dxa"/>
              <w:right w:w="108" w:type="dxa"/>
            </w:tcMar>
            <w:hideMark/>
          </w:tcPr>
          <w:p w:rsidR="00061D3E" w:rsidRPr="00061D3E" w:rsidRDefault="00061D3E" w:rsidP="00061D3E">
            <w:pPr>
              <w:spacing w:before="120" w:after="0"/>
              <w:jc w:val="right"/>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i/>
                <w:iCs/>
                <w:color w:val="000000"/>
                <w:sz w:val="28"/>
                <w:szCs w:val="28"/>
                <w:vertAlign w:val="superscript"/>
                <w:lang w:eastAsia="vi-VN"/>
              </w:rPr>
              <w:t>Hà Nội, ngày 17 tháng 06 năm 2015</w:t>
            </w:r>
          </w:p>
        </w:tc>
      </w:tr>
    </w:tbl>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 xml:space="preserve">THÔNG </w:t>
      </w:r>
      <w:bookmarkStart w:id="0" w:name="loai_1"/>
      <w:r w:rsidRPr="00061D3E">
        <w:rPr>
          <w:rFonts w:asciiTheme="majorHAnsi" w:eastAsia="Times New Roman" w:hAnsiTheme="majorHAnsi" w:cstheme="majorHAnsi"/>
          <w:b/>
          <w:bCs/>
          <w:color w:val="000000"/>
          <w:sz w:val="28"/>
          <w:szCs w:val="28"/>
          <w:vertAlign w:val="superscript"/>
          <w:lang w:eastAsia="vi-VN"/>
        </w:rPr>
        <w:t>TƯ</w:t>
      </w:r>
      <w:bookmarkEnd w:id="0"/>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1" w:name="loai_1_name"/>
      <w:r w:rsidRPr="00061D3E">
        <w:rPr>
          <w:rFonts w:asciiTheme="majorHAnsi" w:eastAsia="Times New Roman" w:hAnsiTheme="majorHAnsi" w:cstheme="majorHAnsi"/>
          <w:color w:val="000000"/>
          <w:sz w:val="28"/>
          <w:szCs w:val="28"/>
          <w:vertAlign w:val="superscript"/>
          <w:lang w:eastAsia="vi-VN"/>
        </w:rPr>
        <w:t>QUY ĐỊNH CHI TIẾT THI HÀNH NGHỊ ĐỊNH SỐ 187/2013/NĐ-CP NGÀY 20 THÁNG 11 NĂM 2013 CỦA CHÍNH PHỦ VỀ XUẤT KHẨU, NHẬP KHẨU HÀNG HÓA TRONG LĨNH VỰC IN, PHÁT HÀNH XUẤT BẢN PHẨM</w:t>
      </w:r>
      <w:bookmarkEnd w:id="1"/>
    </w:p>
    <w:p w:rsidR="00061D3E" w:rsidRPr="00061D3E" w:rsidRDefault="00061D3E" w:rsidP="00061D3E">
      <w:pPr>
        <w:shd w:val="clear" w:color="auto" w:fill="FFFFFF"/>
        <w:spacing w:before="120" w:after="0"/>
        <w:rPr>
          <w:rFonts w:asciiTheme="majorHAnsi" w:eastAsia="Times New Roman" w:hAnsiTheme="majorHAnsi" w:cstheme="majorHAnsi"/>
          <w:i/>
          <w:iCs/>
          <w:color w:val="000000"/>
          <w:sz w:val="28"/>
          <w:szCs w:val="28"/>
          <w:vertAlign w:val="superscript"/>
          <w:lang w:val="en-US" w:eastAsia="vi-VN"/>
        </w:rPr>
      </w:pPr>
    </w:p>
    <w:p w:rsidR="00061D3E" w:rsidRPr="00061D3E" w:rsidRDefault="00061D3E" w:rsidP="00061D3E">
      <w:pPr>
        <w:pStyle w:val="NormalWeb"/>
        <w:shd w:val="clear" w:color="auto" w:fill="FFFFFF"/>
        <w:spacing w:before="120" w:beforeAutospacing="0" w:after="0" w:afterAutospacing="0" w:line="276" w:lineRule="auto"/>
        <w:rPr>
          <w:rFonts w:asciiTheme="majorHAnsi" w:hAnsiTheme="majorHAnsi" w:cstheme="majorHAnsi"/>
          <w:color w:val="000000"/>
          <w:sz w:val="28"/>
          <w:szCs w:val="28"/>
          <w:vertAlign w:val="superscript"/>
        </w:rPr>
      </w:pPr>
      <w:r w:rsidRPr="00061D3E">
        <w:rPr>
          <w:rFonts w:asciiTheme="majorHAnsi" w:hAnsiTheme="majorHAnsi" w:cstheme="majorHAnsi"/>
          <w:i/>
          <w:iCs/>
          <w:color w:val="000000"/>
          <w:sz w:val="28"/>
          <w:szCs w:val="28"/>
          <w:vertAlign w:val="superscript"/>
        </w:rPr>
        <w:t>Căn cứ Luật Xuất bản ngày 20 tháng 11 năm 2012;</w:t>
      </w:r>
    </w:p>
    <w:p w:rsidR="00061D3E" w:rsidRPr="00061D3E" w:rsidRDefault="00061D3E" w:rsidP="00061D3E">
      <w:pPr>
        <w:pStyle w:val="NormalWeb"/>
        <w:shd w:val="clear" w:color="auto" w:fill="FFFFFF"/>
        <w:spacing w:before="120" w:beforeAutospacing="0" w:after="0" w:afterAutospacing="0" w:line="276" w:lineRule="auto"/>
        <w:rPr>
          <w:rFonts w:asciiTheme="majorHAnsi" w:hAnsiTheme="majorHAnsi" w:cstheme="majorHAnsi"/>
          <w:color w:val="000000"/>
          <w:sz w:val="28"/>
          <w:szCs w:val="28"/>
          <w:vertAlign w:val="superscript"/>
        </w:rPr>
      </w:pPr>
      <w:r w:rsidRPr="00061D3E">
        <w:rPr>
          <w:rFonts w:asciiTheme="majorHAnsi" w:hAnsiTheme="majorHAnsi" w:cstheme="majorHAnsi"/>
          <w:i/>
          <w:iCs/>
          <w:color w:val="000000"/>
          <w:sz w:val="28"/>
          <w:szCs w:val="28"/>
          <w:vertAlign w:val="superscript"/>
        </w:rPr>
        <w:t>Căn cứ</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shd w:val="clear" w:color="auto" w:fill="FFFFFF"/>
          <w:vertAlign w:val="superscript"/>
        </w:rPr>
        <w:t>Nghị định số</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vertAlign w:val="superscript"/>
        </w:rPr>
        <w:t>132/2013/NĐ-CP ngày 16 tháng 10 năm 2013 của Chính phủ quy định chức năng, nhiệm vụ, quyền hạn và cơ cấu</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shd w:val="clear" w:color="auto" w:fill="FFFFFF"/>
          <w:vertAlign w:val="superscript"/>
        </w:rPr>
        <w:t>tổ chức</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vertAlign w:val="superscript"/>
        </w:rPr>
        <w:t>của Bộ Thông tin và Truyền thông;</w:t>
      </w:r>
    </w:p>
    <w:p w:rsidR="00061D3E" w:rsidRPr="00061D3E" w:rsidRDefault="00061D3E" w:rsidP="00061D3E">
      <w:pPr>
        <w:pStyle w:val="NormalWeb"/>
        <w:shd w:val="clear" w:color="auto" w:fill="FFFFFF"/>
        <w:spacing w:before="120" w:beforeAutospacing="0" w:after="0" w:afterAutospacing="0" w:line="276" w:lineRule="auto"/>
        <w:rPr>
          <w:rFonts w:asciiTheme="majorHAnsi" w:hAnsiTheme="majorHAnsi" w:cstheme="majorHAnsi"/>
          <w:color w:val="000000"/>
          <w:sz w:val="28"/>
          <w:szCs w:val="28"/>
          <w:vertAlign w:val="superscript"/>
        </w:rPr>
      </w:pPr>
      <w:r w:rsidRPr="00061D3E">
        <w:rPr>
          <w:rFonts w:asciiTheme="majorHAnsi" w:hAnsiTheme="majorHAnsi" w:cstheme="majorHAnsi"/>
          <w:i/>
          <w:iCs/>
          <w:color w:val="000000"/>
          <w:sz w:val="28"/>
          <w:szCs w:val="28"/>
          <w:vertAlign w:val="superscript"/>
        </w:rPr>
        <w:t>Căn cứ</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shd w:val="clear" w:color="auto" w:fill="FFFFFF"/>
          <w:vertAlign w:val="superscript"/>
        </w:rPr>
        <w:t>Nghị định số</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vertAlign w:val="superscript"/>
        </w:rPr>
        <w:t>187/2013/NĐ-CP ngày 20 tháng 11 năm 2013 của Chính phủ quy định</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shd w:val="clear" w:color="auto" w:fill="FFFFFF"/>
          <w:vertAlign w:val="superscript"/>
        </w:rPr>
        <w:t>chi tiết</w:t>
      </w:r>
      <w:r w:rsidRPr="00061D3E">
        <w:rPr>
          <w:rStyle w:val="apple-converted-space"/>
          <w:rFonts w:asciiTheme="majorHAnsi" w:hAnsiTheme="majorHAnsi" w:cstheme="majorHAnsi"/>
          <w:i/>
          <w:iCs/>
          <w:color w:val="000000"/>
          <w:sz w:val="28"/>
          <w:szCs w:val="28"/>
          <w:vertAlign w:val="superscript"/>
        </w:rPr>
        <w:t> </w:t>
      </w:r>
      <w:r w:rsidRPr="00061D3E">
        <w:rPr>
          <w:rFonts w:asciiTheme="majorHAnsi" w:hAnsiTheme="majorHAnsi" w:cstheme="majorHAnsi"/>
          <w:i/>
          <w:iCs/>
          <w:color w:val="000000"/>
          <w:sz w:val="28"/>
          <w:szCs w:val="28"/>
          <w:vertAlign w:val="superscript"/>
        </w:rPr>
        <w:t>thi hành Luật Thương mại về hoạt động mua bán hàng hóa quốc tế và các hoạt động đại lý mua, bán, gia công và quá cảnh hàng hóa với nước ngoài;</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i/>
          <w:iCs/>
          <w:color w:val="000000"/>
          <w:sz w:val="28"/>
          <w:szCs w:val="28"/>
          <w:vertAlign w:val="superscript"/>
          <w:lang w:eastAsia="vi-VN"/>
        </w:rPr>
        <w:t>Căn cứ Nghị định số 195/2013/NĐ-CP ngày 21 tháng 11 năm 2013 của </w:t>
      </w:r>
      <w:r w:rsidRPr="00061D3E">
        <w:rPr>
          <w:rFonts w:asciiTheme="majorHAnsi" w:eastAsia="Times New Roman" w:hAnsiTheme="majorHAnsi" w:cstheme="majorHAnsi"/>
          <w:i/>
          <w:iCs/>
          <w:color w:val="000000"/>
          <w:sz w:val="28"/>
          <w:szCs w:val="28"/>
          <w:shd w:val="clear" w:color="auto" w:fill="FFFFFF"/>
          <w:vertAlign w:val="superscript"/>
          <w:lang w:eastAsia="vi-VN"/>
        </w:rPr>
        <w:t>Chính phủ</w:t>
      </w:r>
      <w:r w:rsidRPr="00061D3E">
        <w:rPr>
          <w:rFonts w:asciiTheme="majorHAnsi" w:eastAsia="Times New Roman" w:hAnsiTheme="majorHAnsi" w:cstheme="majorHAnsi"/>
          <w:i/>
          <w:iCs/>
          <w:color w:val="000000"/>
          <w:sz w:val="28"/>
          <w:szCs w:val="28"/>
          <w:vertAlign w:val="superscript"/>
          <w:lang w:eastAsia="vi-VN"/>
        </w:rPr>
        <w:t> quy định </w:t>
      </w:r>
      <w:r w:rsidRPr="00061D3E">
        <w:rPr>
          <w:rFonts w:asciiTheme="majorHAnsi" w:eastAsia="Times New Roman" w:hAnsiTheme="majorHAnsi" w:cstheme="majorHAnsi"/>
          <w:i/>
          <w:iCs/>
          <w:color w:val="000000"/>
          <w:sz w:val="28"/>
          <w:szCs w:val="28"/>
          <w:shd w:val="clear" w:color="auto" w:fill="FFFFFF"/>
          <w:vertAlign w:val="superscript"/>
          <w:lang w:eastAsia="vi-VN"/>
        </w:rPr>
        <w:t>chi tiết</w:t>
      </w:r>
      <w:r w:rsidRPr="00061D3E">
        <w:rPr>
          <w:rFonts w:asciiTheme="majorHAnsi" w:eastAsia="Times New Roman" w:hAnsiTheme="majorHAnsi" w:cstheme="majorHAnsi"/>
          <w:i/>
          <w:iCs/>
          <w:color w:val="000000"/>
          <w:sz w:val="28"/>
          <w:szCs w:val="28"/>
          <w:vertAlign w:val="superscript"/>
          <w:lang w:eastAsia="vi-VN"/>
        </w:rPr>
        <w:t> một </w:t>
      </w:r>
      <w:r w:rsidRPr="00061D3E">
        <w:rPr>
          <w:rFonts w:asciiTheme="majorHAnsi" w:eastAsia="Times New Roman" w:hAnsiTheme="majorHAnsi" w:cstheme="majorHAnsi"/>
          <w:i/>
          <w:iCs/>
          <w:color w:val="000000"/>
          <w:sz w:val="28"/>
          <w:szCs w:val="28"/>
          <w:shd w:val="clear" w:color="auto" w:fill="FFFFFF"/>
          <w:vertAlign w:val="superscript"/>
          <w:lang w:eastAsia="vi-VN"/>
        </w:rPr>
        <w:t>số</w:t>
      </w:r>
      <w:r w:rsidRPr="00061D3E">
        <w:rPr>
          <w:rFonts w:asciiTheme="majorHAnsi" w:eastAsia="Times New Roman" w:hAnsiTheme="majorHAnsi" w:cstheme="majorHAnsi"/>
          <w:i/>
          <w:iCs/>
          <w:color w:val="000000"/>
          <w:sz w:val="28"/>
          <w:szCs w:val="28"/>
          <w:vertAlign w:val="superscript"/>
          <w:lang w:eastAsia="vi-VN"/>
        </w:rPr>
        <w:t> điều và biện pháp thi hành Luật Xuất bản;</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i/>
          <w:iCs/>
          <w:color w:val="000000"/>
          <w:sz w:val="28"/>
          <w:szCs w:val="28"/>
          <w:vertAlign w:val="superscript"/>
          <w:lang w:eastAsia="vi-VN"/>
        </w:rPr>
        <w:t>Căn cứ </w:t>
      </w:r>
      <w:r w:rsidRPr="00061D3E">
        <w:rPr>
          <w:rFonts w:asciiTheme="majorHAnsi" w:eastAsia="Times New Roman" w:hAnsiTheme="majorHAnsi" w:cstheme="majorHAnsi"/>
          <w:i/>
          <w:iCs/>
          <w:color w:val="000000"/>
          <w:sz w:val="28"/>
          <w:szCs w:val="28"/>
          <w:shd w:val="clear" w:color="auto" w:fill="FFFFFF"/>
          <w:vertAlign w:val="superscript"/>
          <w:lang w:eastAsia="vi-VN"/>
        </w:rPr>
        <w:t>Nghị định số</w:t>
      </w:r>
      <w:r w:rsidRPr="00061D3E">
        <w:rPr>
          <w:rFonts w:asciiTheme="majorHAnsi" w:eastAsia="Times New Roman" w:hAnsiTheme="majorHAnsi" w:cstheme="majorHAnsi"/>
          <w:i/>
          <w:iCs/>
          <w:color w:val="000000"/>
          <w:sz w:val="28"/>
          <w:szCs w:val="28"/>
          <w:vertAlign w:val="superscript"/>
          <w:lang w:eastAsia="vi-VN"/>
        </w:rPr>
        <w:t> 60/2014/NĐ-CP ngày 19 tháng 6 năm 2014 của Chính phủ quy định về hoạt động in;</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i/>
          <w:iCs/>
          <w:color w:val="000000"/>
          <w:sz w:val="28"/>
          <w:szCs w:val="28"/>
          <w:vertAlign w:val="superscript"/>
          <w:lang w:eastAsia="vi-VN"/>
        </w:rPr>
        <w:t>Căn cứ </w:t>
      </w:r>
      <w:r w:rsidRPr="00061D3E">
        <w:rPr>
          <w:rFonts w:asciiTheme="majorHAnsi" w:eastAsia="Times New Roman" w:hAnsiTheme="majorHAnsi" w:cstheme="majorHAnsi"/>
          <w:i/>
          <w:iCs/>
          <w:color w:val="000000"/>
          <w:sz w:val="28"/>
          <w:szCs w:val="28"/>
          <w:shd w:val="clear" w:color="auto" w:fill="FFFFFF"/>
          <w:vertAlign w:val="superscript"/>
          <w:lang w:eastAsia="vi-VN"/>
        </w:rPr>
        <w:t>Quyết định số</w:t>
      </w:r>
      <w:r w:rsidRPr="00061D3E">
        <w:rPr>
          <w:rFonts w:asciiTheme="majorHAnsi" w:eastAsia="Times New Roman" w:hAnsiTheme="majorHAnsi" w:cstheme="majorHAnsi"/>
          <w:i/>
          <w:iCs/>
          <w:color w:val="000000"/>
          <w:sz w:val="28"/>
          <w:szCs w:val="28"/>
          <w:vertAlign w:val="superscript"/>
          <w:lang w:eastAsia="vi-VN"/>
        </w:rPr>
        <w:t> 41/2005/QĐ-TTg ngày 02 tháng 3 năm 2005 của Thủ tướng </w:t>
      </w:r>
      <w:r w:rsidRPr="00061D3E">
        <w:rPr>
          <w:rFonts w:asciiTheme="majorHAnsi" w:eastAsia="Times New Roman" w:hAnsiTheme="majorHAnsi" w:cstheme="majorHAnsi"/>
          <w:i/>
          <w:iCs/>
          <w:color w:val="000000"/>
          <w:sz w:val="28"/>
          <w:szCs w:val="28"/>
          <w:shd w:val="clear" w:color="auto" w:fill="FFFFFF"/>
          <w:vertAlign w:val="superscript"/>
          <w:lang w:eastAsia="vi-VN"/>
        </w:rPr>
        <w:t>Chính phủ</w:t>
      </w:r>
      <w:r w:rsidRPr="00061D3E">
        <w:rPr>
          <w:rFonts w:asciiTheme="majorHAnsi" w:eastAsia="Times New Roman" w:hAnsiTheme="majorHAnsi" w:cstheme="majorHAnsi"/>
          <w:i/>
          <w:iCs/>
          <w:color w:val="000000"/>
          <w:sz w:val="28"/>
          <w:szCs w:val="28"/>
          <w:vertAlign w:val="superscript"/>
          <w:lang w:eastAsia="vi-VN"/>
        </w:rPr>
        <w:t> ban hành Quy chế cấp phép </w:t>
      </w:r>
      <w:r w:rsidRPr="00061D3E">
        <w:rPr>
          <w:rFonts w:asciiTheme="majorHAnsi" w:eastAsia="Times New Roman" w:hAnsiTheme="majorHAnsi" w:cstheme="majorHAnsi"/>
          <w:i/>
          <w:iCs/>
          <w:color w:val="000000"/>
          <w:sz w:val="28"/>
          <w:szCs w:val="28"/>
          <w:shd w:val="clear" w:color="auto" w:fill="FFFFFF"/>
          <w:vertAlign w:val="superscript"/>
          <w:lang w:eastAsia="vi-VN"/>
        </w:rPr>
        <w:t>nhập khẩu</w:t>
      </w:r>
      <w:r w:rsidRPr="00061D3E">
        <w:rPr>
          <w:rFonts w:asciiTheme="majorHAnsi" w:eastAsia="Times New Roman" w:hAnsiTheme="majorHAnsi" w:cstheme="majorHAnsi"/>
          <w:i/>
          <w:iCs/>
          <w:color w:val="000000"/>
          <w:sz w:val="28"/>
          <w:szCs w:val="28"/>
          <w:vertAlign w:val="superscript"/>
          <w:lang w:eastAsia="vi-VN"/>
        </w:rPr>
        <w:t> hàng hóa;</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i/>
          <w:iCs/>
          <w:color w:val="000000"/>
          <w:sz w:val="28"/>
          <w:szCs w:val="28"/>
          <w:vertAlign w:val="superscript"/>
          <w:lang w:eastAsia="vi-VN"/>
        </w:rPr>
        <w:t>Theo đề nghị của Cục trưởng Cục Xuất bản, In và Phát hành,</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i/>
          <w:iCs/>
          <w:color w:val="000000"/>
          <w:sz w:val="28"/>
          <w:szCs w:val="28"/>
          <w:vertAlign w:val="superscript"/>
          <w:lang w:eastAsia="vi-VN"/>
        </w:rPr>
        <w:t>Bộ trưởng Bộ Thông tin và Truyền thông ban hành Thông tư quy định chi tiết thi hành Nghị định số 187/2013/NĐ-CP ngày 20 </w:t>
      </w:r>
      <w:r w:rsidRPr="00061D3E">
        <w:rPr>
          <w:rFonts w:asciiTheme="majorHAnsi" w:eastAsia="Times New Roman" w:hAnsiTheme="majorHAnsi" w:cstheme="majorHAnsi"/>
          <w:i/>
          <w:iCs/>
          <w:color w:val="000000"/>
          <w:sz w:val="28"/>
          <w:szCs w:val="28"/>
          <w:shd w:val="clear" w:color="auto" w:fill="FFFFFF"/>
          <w:vertAlign w:val="superscript"/>
          <w:lang w:eastAsia="vi-VN"/>
        </w:rPr>
        <w:t>tháng</w:t>
      </w:r>
      <w:r w:rsidRPr="00061D3E">
        <w:rPr>
          <w:rFonts w:asciiTheme="majorHAnsi" w:eastAsia="Times New Roman" w:hAnsiTheme="majorHAnsi" w:cstheme="majorHAnsi"/>
          <w:i/>
          <w:iCs/>
          <w:color w:val="000000"/>
          <w:sz w:val="28"/>
          <w:szCs w:val="28"/>
          <w:vertAlign w:val="superscript"/>
          <w:lang w:eastAsia="vi-VN"/>
        </w:rPr>
        <w:t> 11 năm 2013 của </w:t>
      </w:r>
      <w:r w:rsidRPr="00061D3E">
        <w:rPr>
          <w:rFonts w:asciiTheme="majorHAnsi" w:eastAsia="Times New Roman" w:hAnsiTheme="majorHAnsi" w:cstheme="majorHAnsi"/>
          <w:i/>
          <w:iCs/>
          <w:color w:val="000000"/>
          <w:sz w:val="28"/>
          <w:szCs w:val="28"/>
          <w:shd w:val="clear" w:color="auto" w:fill="FFFFFF"/>
          <w:vertAlign w:val="superscript"/>
          <w:lang w:eastAsia="vi-VN"/>
        </w:rPr>
        <w:t>Chính phủ</w:t>
      </w:r>
      <w:r w:rsidRPr="00061D3E">
        <w:rPr>
          <w:rFonts w:asciiTheme="majorHAnsi" w:eastAsia="Times New Roman" w:hAnsiTheme="majorHAnsi" w:cstheme="majorHAnsi"/>
          <w:i/>
          <w:iCs/>
          <w:color w:val="000000"/>
          <w:sz w:val="28"/>
          <w:szCs w:val="28"/>
          <w:vertAlign w:val="superscript"/>
          <w:lang w:eastAsia="vi-VN"/>
        </w:rPr>
        <w:t> về xuất khẩu, nhập khẩu hàng hóa trong lĩnh vực in, phát hành xuất bản phẩm.</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2" w:name="chuong_1"/>
      <w:r w:rsidRPr="00061D3E">
        <w:rPr>
          <w:rFonts w:asciiTheme="majorHAnsi" w:eastAsia="Times New Roman" w:hAnsiTheme="majorHAnsi" w:cstheme="majorHAnsi"/>
          <w:b/>
          <w:bCs/>
          <w:color w:val="000000"/>
          <w:sz w:val="28"/>
          <w:szCs w:val="28"/>
          <w:vertAlign w:val="superscript"/>
          <w:lang w:eastAsia="vi-VN"/>
        </w:rPr>
        <w:t>Chương I</w:t>
      </w:r>
      <w:bookmarkEnd w:id="2"/>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3" w:name="chuong_1_name"/>
      <w:r w:rsidRPr="00061D3E">
        <w:rPr>
          <w:rFonts w:asciiTheme="majorHAnsi" w:eastAsia="Times New Roman" w:hAnsiTheme="majorHAnsi" w:cstheme="majorHAnsi"/>
          <w:b/>
          <w:bCs/>
          <w:color w:val="000000"/>
          <w:sz w:val="28"/>
          <w:szCs w:val="28"/>
          <w:vertAlign w:val="superscript"/>
          <w:lang w:eastAsia="vi-VN"/>
        </w:rPr>
        <w:t>QUY ĐỊNH CHUNG</w:t>
      </w:r>
      <w:bookmarkEnd w:id="3"/>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4" w:name="dieu_1"/>
      <w:r w:rsidRPr="00061D3E">
        <w:rPr>
          <w:rFonts w:asciiTheme="majorHAnsi" w:eastAsia="Times New Roman" w:hAnsiTheme="majorHAnsi" w:cstheme="majorHAnsi"/>
          <w:b/>
          <w:bCs/>
          <w:color w:val="000000"/>
          <w:sz w:val="28"/>
          <w:szCs w:val="28"/>
          <w:vertAlign w:val="superscript"/>
          <w:lang w:eastAsia="vi-VN"/>
        </w:rPr>
        <w:t>Điều 1. Phạm vi điều chỉnh và đối tượng áp dụng</w:t>
      </w:r>
      <w:bookmarkEnd w:id="4"/>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lastRenderedPageBreak/>
        <w:t>1. Phạm vi điều chỉnh:</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a) Thông tư này quy định về đối tượng, loại hàng hóa, yêu cầu tiêu chuẩn cần đáp ứng và thủ tục xuất khẩu, nhập khẩu hàng hóa trong lĩnh vực in, phát hành xuất bản phẩm thuộc chuyên ngành quản lý của Bộ Thông tin và Truyền thông;</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b) Hoạt động tạm nhập, tái xuất, tạm xuất, tái nhập, chuyển khẩu hàng hóa trong lĩnh vực in, phát hành xuất bản phẩm được thực hiện theo quy định tại Thông tư số 05/2014/TT-BTC ngày 27 tháng 01 năm 2014 của Bộ trưởng Bộ Công Thương quy định về hoạt động tạm nhập, tái xuất, tạm xuất, tái nhập, chuyển khẩu hàng hóa.</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 Đối tượng áp dụng:</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Thông tư này áp dụng đối với cơ quan, tổ chức, cá nhân tại Việt Nam thực hiện xuất khẩu, nhập khẩu hàng hóa trong lĩnh vực in, phát hành xuất bản phẩm.</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5" w:name="dieu_2"/>
      <w:r w:rsidRPr="00061D3E">
        <w:rPr>
          <w:rFonts w:asciiTheme="majorHAnsi" w:eastAsia="Times New Roman" w:hAnsiTheme="majorHAnsi" w:cstheme="majorHAnsi"/>
          <w:b/>
          <w:bCs/>
          <w:color w:val="000000"/>
          <w:sz w:val="28"/>
          <w:szCs w:val="28"/>
          <w:vertAlign w:val="superscript"/>
          <w:lang w:eastAsia="vi-VN"/>
        </w:rPr>
        <w:t>Điều 2. Hàng hóa trong lĩnh vực in, phát hành xuất bản phẩm theo mã số HS</w:t>
      </w:r>
      <w:bookmarkEnd w:id="5"/>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 Hàng hóa trong lĩnh vực in:</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Hàng hóa trong lĩnh vực in bao gồm: thiết bị, linh kiện, phụ tùng theo mô tả và mã số HS thuộc diện quản lý chuyên ngành của Bộ Thông tin và Truyền thông thuộc các nhóm:</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a) 84.40;</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b) 84.42;</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c) 84.43.</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 Hàng hóa trong lĩnh vực phát hành xuất bản phẩm:</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Hàng hóa trong lĩnh vực phát hành xuất bản phẩm là xuất bản phẩm theo mô tả và mã số HS thuộc diện quản lý chuyên ngành của Bộ Thông tin và Truyền thông thuộc các nhóm:</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a) 49.01;</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b) 4903.00.00 và 4904.00.00;</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c) 49.05;</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d) 4910.00.00;</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đ) 49.11.</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6" w:name="dieu_3"/>
      <w:r w:rsidRPr="00061D3E">
        <w:rPr>
          <w:rFonts w:asciiTheme="majorHAnsi" w:eastAsia="Times New Roman" w:hAnsiTheme="majorHAnsi" w:cstheme="majorHAnsi"/>
          <w:b/>
          <w:bCs/>
          <w:color w:val="000000"/>
          <w:sz w:val="28"/>
          <w:szCs w:val="28"/>
          <w:vertAlign w:val="superscript"/>
          <w:lang w:eastAsia="vi-VN"/>
        </w:rPr>
        <w:t>Điều 3. Xuất khẩu hàng hóa trong lĩnh vực in, phát hành xuất bản phẩm</w:t>
      </w:r>
      <w:bookmarkEnd w:id="6"/>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lastRenderedPageBreak/>
        <w:t>1. Hàng hóa trong lĩnh vực in, phát hành xuất bản </w:t>
      </w:r>
      <w:r w:rsidRPr="00061D3E">
        <w:rPr>
          <w:rFonts w:asciiTheme="majorHAnsi" w:eastAsia="Times New Roman" w:hAnsiTheme="majorHAnsi" w:cstheme="majorHAnsi"/>
          <w:color w:val="000000"/>
          <w:sz w:val="28"/>
          <w:szCs w:val="28"/>
          <w:shd w:val="clear" w:color="auto" w:fill="FFFFFF"/>
          <w:vertAlign w:val="superscript"/>
          <w:lang w:eastAsia="vi-VN"/>
        </w:rPr>
        <w:t>phẩm</w:t>
      </w:r>
      <w:r w:rsidRPr="00061D3E">
        <w:rPr>
          <w:rFonts w:asciiTheme="majorHAnsi" w:eastAsia="Times New Roman" w:hAnsiTheme="majorHAnsi" w:cstheme="majorHAnsi"/>
          <w:color w:val="000000"/>
          <w:sz w:val="28"/>
          <w:szCs w:val="28"/>
          <w:vertAlign w:val="superscript"/>
          <w:lang w:eastAsia="vi-VN"/>
        </w:rPr>
        <w:t> quy định tại Thông tư này khi xuất khẩu không phải có giấy phép xuất khẩu của Bộ Thông tin và Truyền thông.</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 Hàng hóa là xuất bản phẩm có nội dung vi phạm quy định tại Khoản 1 Điều 10 Luật Xuất bản bị cấm xuất khẩu dưới mọi hình thức.</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7" w:name="chuong_2"/>
      <w:r w:rsidRPr="00061D3E">
        <w:rPr>
          <w:rFonts w:asciiTheme="majorHAnsi" w:eastAsia="Times New Roman" w:hAnsiTheme="majorHAnsi" w:cstheme="majorHAnsi"/>
          <w:b/>
          <w:bCs/>
          <w:color w:val="000000"/>
          <w:sz w:val="28"/>
          <w:szCs w:val="28"/>
          <w:vertAlign w:val="superscript"/>
          <w:lang w:eastAsia="vi-VN"/>
        </w:rPr>
        <w:t>Chương II</w:t>
      </w:r>
      <w:bookmarkEnd w:id="7"/>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8" w:name="chuong_2_name"/>
      <w:r w:rsidRPr="00061D3E">
        <w:rPr>
          <w:rFonts w:asciiTheme="majorHAnsi" w:eastAsia="Times New Roman" w:hAnsiTheme="majorHAnsi" w:cstheme="majorHAnsi"/>
          <w:b/>
          <w:bCs/>
          <w:color w:val="000000"/>
          <w:sz w:val="28"/>
          <w:szCs w:val="28"/>
          <w:vertAlign w:val="superscript"/>
          <w:lang w:eastAsia="vi-VN"/>
        </w:rPr>
        <w:t>NHẬP KHẨU HÀNG HÓA TRONG LĨNH VỰC IN</w:t>
      </w:r>
      <w:bookmarkEnd w:id="8"/>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9" w:name="dieu_4"/>
      <w:r w:rsidRPr="00061D3E">
        <w:rPr>
          <w:rFonts w:asciiTheme="majorHAnsi" w:eastAsia="Times New Roman" w:hAnsiTheme="majorHAnsi" w:cstheme="majorHAnsi"/>
          <w:b/>
          <w:bCs/>
          <w:color w:val="000000"/>
          <w:sz w:val="28"/>
          <w:szCs w:val="28"/>
          <w:vertAlign w:val="superscript"/>
          <w:lang w:eastAsia="vi-VN"/>
        </w:rPr>
        <w:t>Điều 4. Đối t</w:t>
      </w:r>
      <w:r w:rsidRPr="00061D3E">
        <w:rPr>
          <w:rFonts w:asciiTheme="majorHAnsi" w:eastAsia="Times New Roman" w:hAnsiTheme="majorHAnsi" w:cstheme="majorHAnsi"/>
          <w:b/>
          <w:bCs/>
          <w:color w:val="000000"/>
          <w:sz w:val="28"/>
          <w:szCs w:val="28"/>
          <w:shd w:val="clear" w:color="auto" w:fill="FFFFFF"/>
          <w:vertAlign w:val="superscript"/>
          <w:lang w:eastAsia="vi-VN"/>
        </w:rPr>
        <w:t>ượ</w:t>
      </w:r>
      <w:r w:rsidRPr="00061D3E">
        <w:rPr>
          <w:rFonts w:asciiTheme="majorHAnsi" w:eastAsia="Times New Roman" w:hAnsiTheme="majorHAnsi" w:cstheme="majorHAnsi"/>
          <w:b/>
          <w:bCs/>
          <w:color w:val="000000"/>
          <w:sz w:val="28"/>
          <w:szCs w:val="28"/>
          <w:vertAlign w:val="superscript"/>
          <w:lang w:eastAsia="vi-VN"/>
        </w:rPr>
        <w:t>ng được nhập khẩu hàng hóa trong lĩnh</w:t>
      </w:r>
      <w:r w:rsidRPr="00061D3E">
        <w:rPr>
          <w:rFonts w:asciiTheme="majorHAnsi" w:eastAsia="Times New Roman" w:hAnsiTheme="majorHAnsi" w:cstheme="majorHAnsi"/>
          <w:color w:val="000000"/>
          <w:sz w:val="28"/>
          <w:szCs w:val="28"/>
          <w:vertAlign w:val="superscript"/>
          <w:lang w:eastAsia="vi-VN"/>
        </w:rPr>
        <w:t> </w:t>
      </w:r>
      <w:r w:rsidRPr="00061D3E">
        <w:rPr>
          <w:rFonts w:asciiTheme="majorHAnsi" w:eastAsia="Times New Roman" w:hAnsiTheme="majorHAnsi" w:cstheme="majorHAnsi"/>
          <w:b/>
          <w:bCs/>
          <w:color w:val="000000"/>
          <w:sz w:val="28"/>
          <w:szCs w:val="28"/>
          <w:vertAlign w:val="superscript"/>
          <w:lang w:eastAsia="vi-VN"/>
        </w:rPr>
        <w:t>vực in</w:t>
      </w:r>
      <w:bookmarkEnd w:id="9"/>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 Cơ sở in (doanh nghiệp, hộ kinh doanh, đơn vị sự nghiệp công lập có </w:t>
      </w:r>
      <w:r w:rsidRPr="00061D3E">
        <w:rPr>
          <w:rFonts w:asciiTheme="majorHAnsi" w:eastAsia="Times New Roman" w:hAnsiTheme="majorHAnsi" w:cstheme="majorHAnsi"/>
          <w:color w:val="000000"/>
          <w:sz w:val="28"/>
          <w:szCs w:val="28"/>
          <w:shd w:val="clear" w:color="auto" w:fill="FFFFFF"/>
          <w:vertAlign w:val="superscript"/>
          <w:lang w:eastAsia="vi-VN"/>
        </w:rPr>
        <w:t>giấy</w:t>
      </w:r>
      <w:r w:rsidRPr="00061D3E">
        <w:rPr>
          <w:rFonts w:asciiTheme="majorHAnsi" w:eastAsia="Times New Roman" w:hAnsiTheme="majorHAnsi" w:cstheme="majorHAnsi"/>
          <w:color w:val="000000"/>
          <w:sz w:val="28"/>
          <w:szCs w:val="28"/>
          <w:vertAlign w:val="superscript"/>
          <w:lang w:eastAsia="vi-VN"/>
        </w:rPr>
        <w:t> phép hoạt động in hoặc có đăng ký hoạt động cơ sở in).</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 Doanh nghiệp có chức năng kinh doanh xuất khẩu, nhập khẩu thiết bị ngành in theo quy định của pháp luật.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3. Cơ quan, </w:t>
      </w:r>
      <w:r w:rsidRPr="00061D3E">
        <w:rPr>
          <w:rFonts w:asciiTheme="majorHAnsi" w:eastAsia="Times New Roman" w:hAnsiTheme="majorHAnsi" w:cstheme="majorHAnsi"/>
          <w:color w:val="000000"/>
          <w:sz w:val="28"/>
          <w:szCs w:val="28"/>
          <w:shd w:val="clear" w:color="auto" w:fill="FFFFFF"/>
          <w:vertAlign w:val="superscript"/>
          <w:lang w:eastAsia="vi-VN"/>
        </w:rPr>
        <w:t>tổ chức</w:t>
      </w:r>
      <w:r w:rsidRPr="00061D3E">
        <w:rPr>
          <w:rFonts w:asciiTheme="majorHAnsi" w:eastAsia="Times New Roman" w:hAnsiTheme="majorHAnsi" w:cstheme="majorHAnsi"/>
          <w:color w:val="000000"/>
          <w:sz w:val="28"/>
          <w:szCs w:val="28"/>
          <w:vertAlign w:val="superscript"/>
          <w:lang w:eastAsia="vi-VN"/>
        </w:rPr>
        <w:t> khác có tư cách pháp nhân được phép sử dụng thiết bị in để phục vụ công việc nội bộ.</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0" w:name="dieu_5"/>
      <w:r w:rsidRPr="00061D3E">
        <w:rPr>
          <w:rFonts w:asciiTheme="majorHAnsi" w:eastAsia="Times New Roman" w:hAnsiTheme="majorHAnsi" w:cstheme="majorHAnsi"/>
          <w:b/>
          <w:bCs/>
          <w:color w:val="000000"/>
          <w:sz w:val="28"/>
          <w:szCs w:val="28"/>
          <w:vertAlign w:val="superscript"/>
          <w:lang w:eastAsia="vi-VN"/>
        </w:rPr>
        <w:t>Điều 5. Hàng hóa nhập khẩu trong lĩnh vực in</w:t>
      </w:r>
      <w:bookmarkEnd w:id="10"/>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 Hàng hóa quy định tại Khoản 1 Điều 2 Thông tư này là thiết bị sử dụng điện năng có trong Danh mục và phải đáp ứng các yêu cầu quy định tại Phụ lục I ban hành kèm theo Thông tư này.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 Hàng hóa quy định tại Khoản 1 Điều 2 Thông tư này là thiết bị không sử dụng điện năng và linh kiện, phụ tùng của hàng hóa khi nhập khẩu không phải có giấy phép nhập khẩu của Bộ Thông tin và Truyền thông.</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1" w:name="dieu_6"/>
      <w:r w:rsidRPr="00061D3E">
        <w:rPr>
          <w:rFonts w:asciiTheme="majorHAnsi" w:eastAsia="Times New Roman" w:hAnsiTheme="majorHAnsi" w:cstheme="majorHAnsi"/>
          <w:b/>
          <w:bCs/>
          <w:color w:val="000000"/>
          <w:sz w:val="28"/>
          <w:szCs w:val="28"/>
          <w:vertAlign w:val="superscript"/>
          <w:lang w:eastAsia="vi-VN"/>
        </w:rPr>
        <w:t>Điều 6. Cấp giấy phép nhập khẩu hàng hóa trong lĩnh vực in</w:t>
      </w:r>
      <w:bookmarkEnd w:id="11"/>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 Tổ chức nhập khẩu thiết bị in quy định tại Điều 4 Thông tư này lập 01 bộ hồ sơ đề nghị cấp giấy phép nhập khẩu, gửi qua đường bưu chính hoặc nộp trực tiếp tại Cục Xuất bản, In và Phát hành. Hồ sơ gồm có:</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a) Đơn đề nghị cấp giấy phép nhập khẩu theo Mẫu số 06 Phụ lục ban hành kèm theo Thông tư số 03/2015/TT-BTTTT ngày 06 tháng 3 năm 2015 của Bộ trưởng Bộ Thông tin và Truyền thông quy định chi tiết và hướng dẫn thi hành một số điều, khoản của Nghị định số 60/2014/NĐ-CP ngày 19 tháng 6 năm 2014 của Chính phủ quy định về hoạt động in (sau đây gọi chung là Thông tư số 03/2015/TT-BTTTT);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b) Ca-ta-lô (catalogue) của từng loại thiết bị;</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c) Bản sao có chứng thực hoặc bản sao (xuất trình kèm bản chính để đối chiếu) giấy tờ sau đây: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lastRenderedPageBreak/>
        <w:t>Giấy phép hoạt động in hoặc tờ khai đăng ký hoạt động cơ sở in đã được xác nhận theo quy định tại Khoản 5 Điều 14 Nghị định số 60/2014/NĐ-CP ngày 19 tháng 6 năm 2014 của Chính phủ quy định </w:t>
      </w:r>
      <w:r w:rsidRPr="00061D3E">
        <w:rPr>
          <w:rFonts w:asciiTheme="majorHAnsi" w:eastAsia="Times New Roman" w:hAnsiTheme="majorHAnsi" w:cstheme="majorHAnsi"/>
          <w:color w:val="000000"/>
          <w:sz w:val="28"/>
          <w:szCs w:val="28"/>
          <w:shd w:val="clear" w:color="auto" w:fill="FFFFFF"/>
          <w:vertAlign w:val="superscript"/>
          <w:lang w:val="fr-FR" w:eastAsia="vi-VN"/>
        </w:rPr>
        <w:t>về</w:t>
      </w:r>
      <w:r w:rsidRPr="00061D3E">
        <w:rPr>
          <w:rFonts w:asciiTheme="majorHAnsi" w:eastAsia="Times New Roman" w:hAnsiTheme="majorHAnsi" w:cstheme="majorHAnsi"/>
          <w:color w:val="000000"/>
          <w:sz w:val="28"/>
          <w:szCs w:val="28"/>
          <w:vertAlign w:val="superscript"/>
          <w:lang w:val="fr-FR" w:eastAsia="vi-VN"/>
        </w:rPr>
        <w:t> hoạt động in </w:t>
      </w:r>
      <w:r w:rsidRPr="00061D3E">
        <w:rPr>
          <w:rFonts w:asciiTheme="majorHAnsi" w:eastAsia="Times New Roman" w:hAnsiTheme="majorHAnsi" w:cstheme="majorHAnsi"/>
          <w:color w:val="000000"/>
          <w:sz w:val="28"/>
          <w:szCs w:val="28"/>
          <w:shd w:val="clear" w:color="auto" w:fill="FFFFFF"/>
          <w:vertAlign w:val="superscript"/>
          <w:lang w:val="fr-FR" w:eastAsia="vi-VN"/>
        </w:rPr>
        <w:t>đối với</w:t>
      </w:r>
      <w:r w:rsidRPr="00061D3E">
        <w:rPr>
          <w:rFonts w:asciiTheme="majorHAnsi" w:eastAsia="Times New Roman" w:hAnsiTheme="majorHAnsi" w:cstheme="majorHAnsi"/>
          <w:color w:val="000000"/>
          <w:sz w:val="28"/>
          <w:szCs w:val="28"/>
          <w:vertAlign w:val="superscript"/>
          <w:lang w:val="fr-FR" w:eastAsia="vi-VN"/>
        </w:rPr>
        <w:t> cơ sở in quy định tại Khoản 1 Điều 4 Thông tư này;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Giấy chứng nhận đăng ký kinh doanh hoặc đăng ký doanh nghiệp </w:t>
      </w:r>
      <w:r w:rsidRPr="00061D3E">
        <w:rPr>
          <w:rFonts w:asciiTheme="majorHAnsi" w:eastAsia="Times New Roman" w:hAnsiTheme="majorHAnsi" w:cstheme="majorHAnsi"/>
          <w:color w:val="000000"/>
          <w:sz w:val="28"/>
          <w:szCs w:val="28"/>
          <w:shd w:val="clear" w:color="auto" w:fill="FFFFFF"/>
          <w:vertAlign w:val="superscript"/>
          <w:lang w:val="fr-FR" w:eastAsia="vi-VN"/>
        </w:rPr>
        <w:t>đối với</w:t>
      </w:r>
      <w:r w:rsidRPr="00061D3E">
        <w:rPr>
          <w:rFonts w:asciiTheme="majorHAnsi" w:eastAsia="Times New Roman" w:hAnsiTheme="majorHAnsi" w:cstheme="majorHAnsi"/>
          <w:color w:val="000000"/>
          <w:sz w:val="28"/>
          <w:szCs w:val="28"/>
          <w:vertAlign w:val="superscript"/>
          <w:lang w:val="fr-FR" w:eastAsia="vi-VN"/>
        </w:rPr>
        <w:t> doanh nghiệp quy định tại Khoản 2 Điều 4 Thông tư này;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Quyết định thành lập đối với cơ quan, tổ chức quy định tại Khoản 3 Điều 4 Thông tư này.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2. Trong thời gian 05 ngày làm việc, kể từ ngày nhận đủ hồ sơ hợp lệ, Cục Xuất bản, In và Phát hành phải cấp giấy phép nhập khẩu thiết bị in theo Mẫu số 10 Phụ lục ban hành kèm theo Thông tư số 03/2015/TT-BTTTT; trường hợp không cấp giấy phép phải có văn bản trả lời nêu rõ lý do.</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3. Giấy phép nhập khẩu thiết bị in có giá trị đến khi thực hiện xong thủ tục thông quan.</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2" w:name="chuong_3"/>
      <w:r w:rsidRPr="00061D3E">
        <w:rPr>
          <w:rFonts w:asciiTheme="majorHAnsi" w:eastAsia="Times New Roman" w:hAnsiTheme="majorHAnsi" w:cstheme="majorHAnsi"/>
          <w:b/>
          <w:bCs/>
          <w:color w:val="000000"/>
          <w:sz w:val="28"/>
          <w:szCs w:val="28"/>
          <w:vertAlign w:val="superscript"/>
          <w:lang w:val="fr-FR" w:eastAsia="vi-VN"/>
        </w:rPr>
        <w:t>Chương III</w:t>
      </w:r>
      <w:bookmarkEnd w:id="12"/>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13" w:name="chuong_3_name"/>
      <w:r w:rsidRPr="00061D3E">
        <w:rPr>
          <w:rFonts w:asciiTheme="majorHAnsi" w:eastAsia="Times New Roman" w:hAnsiTheme="majorHAnsi" w:cstheme="majorHAnsi"/>
          <w:b/>
          <w:bCs/>
          <w:color w:val="000000"/>
          <w:sz w:val="28"/>
          <w:szCs w:val="28"/>
          <w:vertAlign w:val="superscript"/>
          <w:lang w:val="fr-FR" w:eastAsia="vi-VN"/>
        </w:rPr>
        <w:t>NHẬP KHẨU HÀNG HÓA TRONG LĨNH VỰC PHÁT HÀNH XUẤT BẢN PHẨM</w:t>
      </w:r>
      <w:bookmarkEnd w:id="13"/>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4" w:name="dieu_7"/>
      <w:r w:rsidRPr="00061D3E">
        <w:rPr>
          <w:rFonts w:asciiTheme="majorHAnsi" w:eastAsia="Times New Roman" w:hAnsiTheme="majorHAnsi" w:cstheme="majorHAnsi"/>
          <w:b/>
          <w:bCs/>
          <w:color w:val="000000"/>
          <w:sz w:val="28"/>
          <w:szCs w:val="28"/>
          <w:vertAlign w:val="superscript"/>
          <w:lang w:val="fr-FR" w:eastAsia="vi-VN"/>
        </w:rPr>
        <w:t>Điều 7. Đối tượng được nhập khẩu hàng hóa trong lĩnh vực phát hành xuất bản</w:t>
      </w:r>
      <w:r w:rsidRPr="00061D3E">
        <w:rPr>
          <w:rFonts w:asciiTheme="majorHAnsi" w:eastAsia="Times New Roman" w:hAnsiTheme="majorHAnsi" w:cstheme="majorHAnsi"/>
          <w:b/>
          <w:bCs/>
          <w:color w:val="000000"/>
          <w:sz w:val="28"/>
          <w:szCs w:val="28"/>
          <w:shd w:val="clear" w:color="auto" w:fill="FFFFFF"/>
          <w:vertAlign w:val="superscript"/>
          <w:lang w:val="fr-FR" w:eastAsia="vi-VN"/>
        </w:rPr>
        <w:t>phẩm</w:t>
      </w:r>
      <w:bookmarkEnd w:id="14"/>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1. Tổ chức có giấy phép hoạt động kinh doanh nhập khẩu xuất bản phẩm quy định tại Điều 38 Luật Xuất bản (sau đây gọi là cơ sở nhập khẩu xuất bản phẩm) được nhập khẩu xuất bản phẩm để kinh doanh.</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2. Cơ quan, tổ chức, cá nhân Việt Nam và nước ngoài quy định tại Điều 41 Luật Xuất bản được nhập khẩu xuất bản phẩm không kinh doanh.</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5" w:name="dieu_8"/>
      <w:r w:rsidRPr="00061D3E">
        <w:rPr>
          <w:rFonts w:asciiTheme="majorHAnsi" w:eastAsia="Times New Roman" w:hAnsiTheme="majorHAnsi" w:cstheme="majorHAnsi"/>
          <w:b/>
          <w:bCs/>
          <w:color w:val="000000"/>
          <w:sz w:val="28"/>
          <w:szCs w:val="28"/>
          <w:vertAlign w:val="superscript"/>
          <w:lang w:val="fr-FR" w:eastAsia="vi-VN"/>
        </w:rPr>
        <w:t>Điều 8. Hàng hóa nhập khẩu trong lĩnh vực phát hành xuất bản phẩm</w:t>
      </w:r>
      <w:bookmarkEnd w:id="15"/>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1. Hàng hóa là xuất bản phẩm quy định tại Khoản 2 Điều 2 Thông tư này khi nhập khẩu phải đáp ứng các yêu cầu quy định tại Phụ lục II ban hành kèm theo Thông tư này.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2. Hàng hóa là xuất bản phẩm có nội dung vi phạm quy định tại Khoản 1 Điều 10 Luật Xuất bản bị cấm nhập khẩu dưới mọi hình thức.</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6" w:name="dieu_9"/>
      <w:r w:rsidRPr="00061D3E">
        <w:rPr>
          <w:rFonts w:asciiTheme="majorHAnsi" w:eastAsia="Times New Roman" w:hAnsiTheme="majorHAnsi" w:cstheme="majorHAnsi"/>
          <w:b/>
          <w:bCs/>
          <w:color w:val="000000"/>
          <w:sz w:val="28"/>
          <w:szCs w:val="28"/>
          <w:vertAlign w:val="superscript"/>
          <w:lang w:val="fr-FR" w:eastAsia="vi-VN"/>
        </w:rPr>
        <w:t>Điều 9. Đăng ký và xác nhận đăng ký nhập khẩu xuất bản phẩm để kinh doanh</w:t>
      </w:r>
      <w:bookmarkEnd w:id="16"/>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1. Cơ sở nhập khẩu xuất bản phẩm lập 01 bộ hồ sơ đăng ký, gửi qua đường bưu chính hoặc nộp trực tiếp tại Cục Xuất bản, In và Phát hành. </w:t>
      </w:r>
      <w:r w:rsidRPr="00061D3E">
        <w:rPr>
          <w:rFonts w:asciiTheme="majorHAnsi" w:eastAsia="Times New Roman" w:hAnsiTheme="majorHAnsi" w:cstheme="majorHAnsi"/>
          <w:color w:val="000000"/>
          <w:sz w:val="28"/>
          <w:szCs w:val="28"/>
          <w:shd w:val="clear" w:color="auto" w:fill="FFFFFF"/>
          <w:vertAlign w:val="superscript"/>
          <w:lang w:val="fr-FR" w:eastAsia="vi-VN"/>
        </w:rPr>
        <w:t>Trường hợp</w:t>
      </w:r>
      <w:r w:rsidRPr="00061D3E">
        <w:rPr>
          <w:rFonts w:asciiTheme="majorHAnsi" w:eastAsia="Times New Roman" w:hAnsiTheme="majorHAnsi" w:cstheme="majorHAnsi"/>
          <w:color w:val="000000"/>
          <w:sz w:val="28"/>
          <w:szCs w:val="28"/>
          <w:vertAlign w:val="superscript"/>
          <w:lang w:val="fr-FR" w:eastAsia="vi-VN"/>
        </w:rPr>
        <w:t> nộp hồ sơ qua mạng Internet, cơ sở nhập khẩu xuất bản phẩm phải có chứng thư số do </w:t>
      </w:r>
      <w:r w:rsidRPr="00061D3E">
        <w:rPr>
          <w:rFonts w:asciiTheme="majorHAnsi" w:eastAsia="Times New Roman" w:hAnsiTheme="majorHAnsi" w:cstheme="majorHAnsi"/>
          <w:color w:val="000000"/>
          <w:sz w:val="28"/>
          <w:szCs w:val="28"/>
          <w:shd w:val="clear" w:color="auto" w:fill="FFFFFF"/>
          <w:vertAlign w:val="superscript"/>
          <w:lang w:val="fr-FR" w:eastAsia="vi-VN"/>
        </w:rPr>
        <w:t>tổ chức</w:t>
      </w:r>
      <w:r w:rsidRPr="00061D3E">
        <w:rPr>
          <w:rFonts w:asciiTheme="majorHAnsi" w:eastAsia="Times New Roman" w:hAnsiTheme="majorHAnsi" w:cstheme="majorHAnsi"/>
          <w:color w:val="000000"/>
          <w:sz w:val="28"/>
          <w:szCs w:val="28"/>
          <w:vertAlign w:val="superscript"/>
          <w:lang w:val="fr-FR" w:eastAsia="vi-VN"/>
        </w:rPr>
        <w:t> cung cấp dịch vụ chứng thực chữ ký số cấp và thực hiện theo hướng dẫn trên Cổng thông tin điện tử của Cục Xuất bản, In và Phát hành. Hồ sơ gồm có:</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lastRenderedPageBreak/>
        <w:t>a) Đơn đăng ký theo Mẫu số 04 Phụ lục III ban hành kèm theo Thông tư số 23/2014/TT-BTTTT ngày 29 tháng 12 năm 2014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 (sau đây gọi chung là Thông tư số 23/2014/TT-BTTTT);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b) 03 bản danh mục xuất bản phẩm nhập khẩu theo Mẫu số 05 Phụ lục III ban hành kèm theo Thông tư số 23/2014/TT-BTTTT.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2. Cơ sở nhập khẩu xuất bản phẩm phải nộp lệ phí đăng ký nhập khẩu </w:t>
      </w:r>
      <w:r w:rsidRPr="00061D3E">
        <w:rPr>
          <w:rFonts w:asciiTheme="majorHAnsi" w:eastAsia="Times New Roman" w:hAnsiTheme="majorHAnsi" w:cstheme="majorHAnsi"/>
          <w:color w:val="000000"/>
          <w:sz w:val="28"/>
          <w:szCs w:val="28"/>
          <w:shd w:val="clear" w:color="auto" w:fill="FFFFFF"/>
          <w:vertAlign w:val="superscript"/>
          <w:lang w:val="fr-FR" w:eastAsia="vi-VN"/>
        </w:rPr>
        <w:t>xuất</w:t>
      </w:r>
      <w:r w:rsidRPr="00061D3E">
        <w:rPr>
          <w:rFonts w:asciiTheme="majorHAnsi" w:eastAsia="Times New Roman" w:hAnsiTheme="majorHAnsi" w:cstheme="majorHAnsi"/>
          <w:color w:val="000000"/>
          <w:sz w:val="28"/>
          <w:szCs w:val="28"/>
          <w:vertAlign w:val="superscript"/>
          <w:lang w:val="fr-FR" w:eastAsia="vi-VN"/>
        </w:rPr>
        <w:t> bản </w:t>
      </w:r>
      <w:r w:rsidRPr="00061D3E">
        <w:rPr>
          <w:rFonts w:asciiTheme="majorHAnsi" w:eastAsia="Times New Roman" w:hAnsiTheme="majorHAnsi" w:cstheme="majorHAnsi"/>
          <w:color w:val="000000"/>
          <w:sz w:val="28"/>
          <w:szCs w:val="28"/>
          <w:shd w:val="clear" w:color="auto" w:fill="FFFFFF"/>
          <w:vertAlign w:val="superscript"/>
          <w:lang w:val="fr-FR" w:eastAsia="vi-VN"/>
        </w:rPr>
        <w:t>phẩm</w:t>
      </w:r>
      <w:r w:rsidRPr="00061D3E">
        <w:rPr>
          <w:rFonts w:asciiTheme="majorHAnsi" w:eastAsia="Times New Roman" w:hAnsiTheme="majorHAnsi" w:cstheme="majorHAnsi"/>
          <w:color w:val="000000"/>
          <w:sz w:val="28"/>
          <w:szCs w:val="28"/>
          <w:vertAlign w:val="superscript"/>
          <w:lang w:val="fr-FR" w:eastAsia="vi-VN"/>
        </w:rPr>
        <w:t>theo quy định của pháp luật.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3. Trong thời hạn 15 ngày, kể từ ngày nhận đủ hồ sơ hợp lệ, Cục Xuất bản, In và Phát hành phải xác nhận đăng ký nhập khẩu xuất bản phẩm bằng văn bản theo Mẫu số 06 Phụ lục III ban hành kèm theo Thông tư số 23/2014/TT-BTTTT; trường hợp không xác nhận đăng ký phải có văn bản trả lời nêu rõ lý do.</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shd w:val="clear" w:color="auto" w:fill="FFFFFF"/>
          <w:vertAlign w:val="superscript"/>
          <w:lang w:val="fr-FR" w:eastAsia="vi-VN"/>
        </w:rPr>
        <w:t>Trường hợp</w:t>
      </w:r>
      <w:r w:rsidRPr="00061D3E">
        <w:rPr>
          <w:rFonts w:asciiTheme="majorHAnsi" w:eastAsia="Times New Roman" w:hAnsiTheme="majorHAnsi" w:cstheme="majorHAnsi"/>
          <w:color w:val="000000"/>
          <w:sz w:val="28"/>
          <w:szCs w:val="28"/>
          <w:vertAlign w:val="superscript"/>
          <w:lang w:val="fr-FR" w:eastAsia="vi-VN"/>
        </w:rPr>
        <w:t> phát hiện nội dung xuất bản phẩm nhập khẩu có dấu hiệu vi phạm pháp luật Việt Nam, Cục Xuất bản, In và Phát hành có quyền từ chối xác nhận đăng ký nhập khẩu xuất bản phẩm hoặc yêu cầu thẩm định nội dung xuất bản </w:t>
      </w:r>
      <w:r w:rsidRPr="00061D3E">
        <w:rPr>
          <w:rFonts w:asciiTheme="majorHAnsi" w:eastAsia="Times New Roman" w:hAnsiTheme="majorHAnsi" w:cstheme="majorHAnsi"/>
          <w:color w:val="000000"/>
          <w:sz w:val="28"/>
          <w:szCs w:val="28"/>
          <w:shd w:val="clear" w:color="auto" w:fill="FFFFFF"/>
          <w:vertAlign w:val="superscript"/>
          <w:lang w:val="fr-FR" w:eastAsia="vi-VN"/>
        </w:rPr>
        <w:t>phẩm</w:t>
      </w:r>
      <w:r w:rsidRPr="00061D3E">
        <w:rPr>
          <w:rFonts w:asciiTheme="majorHAnsi" w:eastAsia="Times New Roman" w:hAnsiTheme="majorHAnsi" w:cstheme="majorHAnsi"/>
          <w:color w:val="000000"/>
          <w:sz w:val="28"/>
          <w:szCs w:val="28"/>
          <w:vertAlign w:val="superscript"/>
          <w:lang w:val="fr-FR" w:eastAsia="vi-VN"/>
        </w:rPr>
        <w:t> đó trước khi xác nhận đăng ký </w:t>
      </w:r>
      <w:r w:rsidRPr="00061D3E">
        <w:rPr>
          <w:rFonts w:asciiTheme="majorHAnsi" w:eastAsia="Times New Roman" w:hAnsiTheme="majorHAnsi" w:cstheme="majorHAnsi"/>
          <w:color w:val="000000"/>
          <w:sz w:val="28"/>
          <w:szCs w:val="28"/>
          <w:shd w:val="clear" w:color="auto" w:fill="FFFFFF"/>
          <w:vertAlign w:val="superscript"/>
          <w:lang w:val="fr-FR" w:eastAsia="vi-VN"/>
        </w:rPr>
        <w:t>nhập khẩu</w:t>
      </w:r>
      <w:r w:rsidRPr="00061D3E">
        <w:rPr>
          <w:rFonts w:asciiTheme="majorHAnsi" w:eastAsia="Times New Roman" w:hAnsiTheme="majorHAnsi" w:cstheme="majorHAnsi"/>
          <w:color w:val="000000"/>
          <w:sz w:val="28"/>
          <w:szCs w:val="28"/>
          <w:vertAlign w:val="superscript"/>
          <w:lang w:val="fr-FR" w:eastAsia="vi-VN"/>
        </w:rPr>
        <w: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7" w:name="dieu_10"/>
      <w:r w:rsidRPr="00061D3E">
        <w:rPr>
          <w:rFonts w:asciiTheme="majorHAnsi" w:eastAsia="Times New Roman" w:hAnsiTheme="majorHAnsi" w:cstheme="majorHAnsi"/>
          <w:b/>
          <w:bCs/>
          <w:color w:val="000000"/>
          <w:sz w:val="28"/>
          <w:szCs w:val="28"/>
          <w:vertAlign w:val="superscript"/>
          <w:lang w:val="fr-FR" w:eastAsia="vi-VN"/>
        </w:rPr>
        <w:t>Điều 10. Cấp giấy phép nhập khẩu xuất bản phẩm không kinh doanh</w:t>
      </w:r>
      <w:bookmarkEnd w:id="17"/>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1. Trước khi nhập khẩu xuất bản phẩm không kinh doanh, cơ quan, tổ chức, cá nhân phải lập hồ sơ đề nghị cấp giấy phép nhập khẩu và gửi qua đường bưu chính hoặc nộp trực tiếp đến cơ quan cấp giấy phép theo quy định sau đây: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a) Cơ quan, tổ chức ở Trung ương, tổ chức nước ngoài có trụ sở tại thành phố Hà Nội gửi hồ sơ đến Cục Xuất bản, In và Phát hành hoặc Sở Thông tin và Truyền thông thành phố Hà Nội;</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b) Cơ quan, tổ chức khác và cá nhân Việt Nam, cá nhân nước ngoài gửi hồ sơ đến Sở Thông tin và Truyền thông nơi đặt trụ sở hoặc nơi có cửa khẩu mà xuất bản phẩm được nhập khẩu.</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2. Hồ sơ đề nghị cấp giấy phép được lập thành 01 bộ, gồm có:</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a) Đơn đề nghị cấp giấy phép nhập khẩu theo Mẫu số 07 Phụ lục III ban hành kèm theo Thông tư số 23/2014/TT-BTTTT;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b) 02 bản danh mục xuất bản phẩm nhập khẩu theo Mẫu số 08 Phụ lục III ban hành kèm theo Thông tư số 23/2014/TT-BTTTT.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3. Cơ quan, tổ chức, cá nhân phải nộp lệ phí cấp giấy phép nhập khẩu xuất bản phẩm theo quy định của pháp luật.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 xml:space="preserve">4. Trong quá trình xem xét để cấp giấy phép, Cục Xuất bản, In và Phát hành hoặc Sở Thông tin và Truyền thông phát hiện xuất bản phẩm được đề nghị cấp giấy phép nhập khẩu có dấu hiệu vi phạm pháp luật Việt Nam thì có quyền từ chối cấp giấy </w:t>
      </w:r>
      <w:r w:rsidRPr="00061D3E">
        <w:rPr>
          <w:rFonts w:asciiTheme="majorHAnsi" w:eastAsia="Times New Roman" w:hAnsiTheme="majorHAnsi" w:cstheme="majorHAnsi"/>
          <w:color w:val="000000"/>
          <w:sz w:val="28"/>
          <w:szCs w:val="28"/>
          <w:vertAlign w:val="superscript"/>
          <w:lang w:val="fr-FR" w:eastAsia="vi-VN"/>
        </w:rPr>
        <w:lastRenderedPageBreak/>
        <w:t>phép nhập khẩu hoặc thực hiện việc </w:t>
      </w:r>
      <w:r w:rsidRPr="00061D3E">
        <w:rPr>
          <w:rFonts w:asciiTheme="majorHAnsi" w:eastAsia="Times New Roman" w:hAnsiTheme="majorHAnsi" w:cstheme="majorHAnsi"/>
          <w:color w:val="000000"/>
          <w:sz w:val="28"/>
          <w:szCs w:val="28"/>
          <w:shd w:val="clear" w:color="auto" w:fill="FFFFFF"/>
          <w:vertAlign w:val="superscript"/>
          <w:lang w:val="fr-FR" w:eastAsia="vi-VN"/>
        </w:rPr>
        <w:t>thẩm định</w:t>
      </w:r>
      <w:r w:rsidRPr="00061D3E">
        <w:rPr>
          <w:rFonts w:asciiTheme="majorHAnsi" w:eastAsia="Times New Roman" w:hAnsiTheme="majorHAnsi" w:cstheme="majorHAnsi"/>
          <w:color w:val="000000"/>
          <w:sz w:val="28"/>
          <w:szCs w:val="28"/>
          <w:vertAlign w:val="superscript"/>
          <w:lang w:val="fr-FR" w:eastAsia="vi-VN"/>
        </w:rPr>
        <w:t> theo quy định tại Điều 21 Thông tư số 23/2014/TT-BTTTT để có cơ sở cho việc quyết định cấp giấy phép nhập khẩu xuất bản </w:t>
      </w:r>
      <w:r w:rsidRPr="00061D3E">
        <w:rPr>
          <w:rFonts w:asciiTheme="majorHAnsi" w:eastAsia="Times New Roman" w:hAnsiTheme="majorHAnsi" w:cstheme="majorHAnsi"/>
          <w:color w:val="000000"/>
          <w:sz w:val="28"/>
          <w:szCs w:val="28"/>
          <w:shd w:val="clear" w:color="auto" w:fill="FFFFFF"/>
          <w:vertAlign w:val="superscript"/>
          <w:lang w:val="fr-FR" w:eastAsia="vi-VN"/>
        </w:rPr>
        <w:t>phẩm</w:t>
      </w:r>
      <w:r w:rsidRPr="00061D3E">
        <w:rPr>
          <w:rFonts w:asciiTheme="majorHAnsi" w:eastAsia="Times New Roman" w:hAnsiTheme="majorHAnsi" w:cstheme="majorHAnsi"/>
          <w:color w:val="000000"/>
          <w:sz w:val="28"/>
          <w:szCs w:val="28"/>
          <w:vertAlign w:val="superscript"/>
          <w:lang w:val="fr-FR" w:eastAsia="vi-VN"/>
        </w:rPr>
        <w: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Cơ quan, tổ chức, cá nhân phải nộp chi phí thẩm định theo quy định của pháp luật.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5. Trong thời hạn 15 ngày, kể từ ngày nhận đủ hồ sơ hợp lệ, Cục Xuất bản, In và Phát hành hoặc Sở Thông tin và Truyền thông phải </w:t>
      </w:r>
      <w:r w:rsidRPr="00061D3E">
        <w:rPr>
          <w:rFonts w:asciiTheme="majorHAnsi" w:eastAsia="Times New Roman" w:hAnsiTheme="majorHAnsi" w:cstheme="majorHAnsi"/>
          <w:color w:val="000000"/>
          <w:sz w:val="28"/>
          <w:szCs w:val="28"/>
          <w:shd w:val="clear" w:color="auto" w:fill="FFFFFF"/>
          <w:vertAlign w:val="superscript"/>
          <w:lang w:val="fr-FR" w:eastAsia="vi-VN"/>
        </w:rPr>
        <w:t>cấp</w:t>
      </w:r>
      <w:r w:rsidRPr="00061D3E">
        <w:rPr>
          <w:rFonts w:asciiTheme="majorHAnsi" w:eastAsia="Times New Roman" w:hAnsiTheme="majorHAnsi" w:cstheme="majorHAnsi"/>
          <w:color w:val="000000"/>
          <w:sz w:val="28"/>
          <w:szCs w:val="28"/>
          <w:vertAlign w:val="superscript"/>
          <w:lang w:val="fr-FR" w:eastAsia="vi-VN"/>
        </w:rPr>
        <w:t> </w:t>
      </w:r>
      <w:r w:rsidRPr="00061D3E">
        <w:rPr>
          <w:rFonts w:asciiTheme="majorHAnsi" w:eastAsia="Times New Roman" w:hAnsiTheme="majorHAnsi" w:cstheme="majorHAnsi"/>
          <w:color w:val="000000"/>
          <w:sz w:val="28"/>
          <w:szCs w:val="28"/>
          <w:shd w:val="clear" w:color="auto" w:fill="FFFFFF"/>
          <w:vertAlign w:val="superscript"/>
          <w:lang w:val="fr-FR" w:eastAsia="vi-VN"/>
        </w:rPr>
        <w:t>giấy</w:t>
      </w:r>
      <w:r w:rsidRPr="00061D3E">
        <w:rPr>
          <w:rFonts w:asciiTheme="majorHAnsi" w:eastAsia="Times New Roman" w:hAnsiTheme="majorHAnsi" w:cstheme="majorHAnsi"/>
          <w:color w:val="000000"/>
          <w:sz w:val="28"/>
          <w:szCs w:val="28"/>
          <w:vertAlign w:val="superscript"/>
          <w:lang w:val="fr-FR" w:eastAsia="vi-VN"/>
        </w:rPr>
        <w:t> phép nhập khẩu xuất bản phẩm không kinh doanh theo Mẫu số 09 Phụ lục III ban hành kèm theo Thông tư số 23/2014/TT-BTTTT, trừ trường hợp phải thẩm định quy định tại Khoản 4 Điều này; trường hợp không cấp giấy phép phải có văn bản trả lời nêu rõ lý do.</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6. Giấy phép nhập khẩu xuất bản phẩm không kinh doanh có giá trị cho đến khi thực hiện xong thủ tục thông quan.</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18" w:name="chuong_4"/>
      <w:r w:rsidRPr="00061D3E">
        <w:rPr>
          <w:rFonts w:asciiTheme="majorHAnsi" w:eastAsia="Times New Roman" w:hAnsiTheme="majorHAnsi" w:cstheme="majorHAnsi"/>
          <w:b/>
          <w:bCs/>
          <w:color w:val="000000"/>
          <w:sz w:val="28"/>
          <w:szCs w:val="28"/>
          <w:vertAlign w:val="superscript"/>
          <w:lang w:val="fr-FR" w:eastAsia="vi-VN"/>
        </w:rPr>
        <w:t>Chương IV</w:t>
      </w:r>
      <w:bookmarkEnd w:id="18"/>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19" w:name="chuong_4_name"/>
      <w:r w:rsidRPr="00061D3E">
        <w:rPr>
          <w:rFonts w:asciiTheme="majorHAnsi" w:eastAsia="Times New Roman" w:hAnsiTheme="majorHAnsi" w:cstheme="majorHAnsi"/>
          <w:b/>
          <w:bCs/>
          <w:color w:val="000000"/>
          <w:sz w:val="28"/>
          <w:szCs w:val="28"/>
          <w:vertAlign w:val="superscript"/>
          <w:lang w:val="fr-FR" w:eastAsia="vi-VN"/>
        </w:rPr>
        <w:t>ĐIỀU KHOẢN THI HÀNH</w:t>
      </w:r>
      <w:bookmarkEnd w:id="19"/>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20" w:name="dieu_11"/>
      <w:r w:rsidRPr="00061D3E">
        <w:rPr>
          <w:rFonts w:asciiTheme="majorHAnsi" w:eastAsia="Times New Roman" w:hAnsiTheme="majorHAnsi" w:cstheme="majorHAnsi"/>
          <w:b/>
          <w:bCs/>
          <w:color w:val="000000"/>
          <w:sz w:val="28"/>
          <w:szCs w:val="28"/>
          <w:vertAlign w:val="superscript"/>
          <w:lang w:val="fr-FR" w:eastAsia="vi-VN"/>
        </w:rPr>
        <w:t>Điều 11. Hiệu lực thi hành</w:t>
      </w:r>
      <w:bookmarkEnd w:id="20"/>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1. Thông tư này có hiệu lực thi hành kể từ ngày 15 tháng 8 năm 2015.</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2. Kể từ ngày Thông tư này có hiệu lực thi hành, các quy định về xuất khẩu, nhập khẩu hàng hóa trong lĩnh vực in, phát hành xuất bản phẩm quy định tại Thông tư số 48/2006/TT-BVHTT ngày 05 tháng 5 năm 2006 của Bộ Văn </w:t>
      </w:r>
      <w:r w:rsidRPr="00061D3E">
        <w:rPr>
          <w:rFonts w:asciiTheme="majorHAnsi" w:eastAsia="Times New Roman" w:hAnsiTheme="majorHAnsi" w:cstheme="majorHAnsi"/>
          <w:color w:val="000000"/>
          <w:sz w:val="28"/>
          <w:szCs w:val="28"/>
          <w:shd w:val="clear" w:color="auto" w:fill="FFFFFF"/>
          <w:vertAlign w:val="superscript"/>
          <w:lang w:val="fr-FR" w:eastAsia="vi-VN"/>
        </w:rPr>
        <w:t>hóa</w:t>
      </w:r>
      <w:r w:rsidRPr="00061D3E">
        <w:rPr>
          <w:rFonts w:asciiTheme="majorHAnsi" w:eastAsia="Times New Roman" w:hAnsiTheme="majorHAnsi" w:cstheme="majorHAnsi"/>
          <w:color w:val="000000"/>
          <w:sz w:val="28"/>
          <w:szCs w:val="28"/>
          <w:vertAlign w:val="superscript"/>
          <w:lang w:val="fr-FR" w:eastAsia="vi-VN"/>
        </w:rPr>
        <w:t> - Thông tin hướng dẫn một số nội dung quy định tại Nghị định số 12/2006/NĐ-CP ngày 23 tháng 01 năm 2006 của Chính phủ quy định chi tiết thi hành Luật Thương mại về hoạt động mua bán hàng</w:t>
      </w:r>
      <w:r w:rsidRPr="00061D3E">
        <w:rPr>
          <w:rFonts w:asciiTheme="majorHAnsi" w:eastAsia="Times New Roman" w:hAnsiTheme="majorHAnsi" w:cstheme="majorHAnsi"/>
          <w:color w:val="000000"/>
          <w:sz w:val="28"/>
          <w:szCs w:val="28"/>
          <w:shd w:val="clear" w:color="auto" w:fill="FFFFFF"/>
          <w:vertAlign w:val="superscript"/>
          <w:lang w:val="fr-FR" w:eastAsia="vi-VN"/>
        </w:rPr>
        <w:t>hóa</w:t>
      </w:r>
      <w:r w:rsidRPr="00061D3E">
        <w:rPr>
          <w:rFonts w:asciiTheme="majorHAnsi" w:eastAsia="Times New Roman" w:hAnsiTheme="majorHAnsi" w:cstheme="majorHAnsi"/>
          <w:color w:val="000000"/>
          <w:sz w:val="28"/>
          <w:szCs w:val="28"/>
          <w:vertAlign w:val="superscript"/>
          <w:lang w:val="fr-FR" w:eastAsia="vi-VN"/>
        </w:rPr>
        <w:t> quốc tế và các hoạt động đại lý, mua, bán, gia công và quá cảnh hàng </w:t>
      </w:r>
      <w:r w:rsidRPr="00061D3E">
        <w:rPr>
          <w:rFonts w:asciiTheme="majorHAnsi" w:eastAsia="Times New Roman" w:hAnsiTheme="majorHAnsi" w:cstheme="majorHAnsi"/>
          <w:color w:val="000000"/>
          <w:sz w:val="28"/>
          <w:szCs w:val="28"/>
          <w:shd w:val="clear" w:color="auto" w:fill="FFFFFF"/>
          <w:vertAlign w:val="superscript"/>
          <w:lang w:val="fr-FR" w:eastAsia="vi-VN"/>
        </w:rPr>
        <w:t>hóa</w:t>
      </w:r>
      <w:r w:rsidRPr="00061D3E">
        <w:rPr>
          <w:rFonts w:asciiTheme="majorHAnsi" w:eastAsia="Times New Roman" w:hAnsiTheme="majorHAnsi" w:cstheme="majorHAnsi"/>
          <w:color w:val="000000"/>
          <w:sz w:val="28"/>
          <w:szCs w:val="28"/>
          <w:vertAlign w:val="superscript"/>
          <w:lang w:val="fr-FR" w:eastAsia="vi-VN"/>
        </w:rPr>
        <w:t> với nước ngoài hết hiệu lực thi hành.</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bookmarkStart w:id="21" w:name="dieu_12"/>
      <w:r w:rsidRPr="00061D3E">
        <w:rPr>
          <w:rFonts w:asciiTheme="majorHAnsi" w:eastAsia="Times New Roman" w:hAnsiTheme="majorHAnsi" w:cstheme="majorHAnsi"/>
          <w:b/>
          <w:bCs/>
          <w:color w:val="000000"/>
          <w:sz w:val="28"/>
          <w:szCs w:val="28"/>
          <w:vertAlign w:val="superscript"/>
          <w:lang w:val="fr-FR" w:eastAsia="vi-VN"/>
        </w:rPr>
        <w:t>Điều 12. Tổ chức </w:t>
      </w:r>
      <w:r w:rsidRPr="00061D3E">
        <w:rPr>
          <w:rFonts w:asciiTheme="majorHAnsi" w:eastAsia="Times New Roman" w:hAnsiTheme="majorHAnsi" w:cstheme="majorHAnsi"/>
          <w:b/>
          <w:bCs/>
          <w:color w:val="000000"/>
          <w:sz w:val="28"/>
          <w:szCs w:val="28"/>
          <w:shd w:val="clear" w:color="auto" w:fill="FFFFFF"/>
          <w:vertAlign w:val="superscript"/>
          <w:lang w:val="fr-FR" w:eastAsia="vi-VN"/>
        </w:rPr>
        <w:t>thực hiện</w:t>
      </w:r>
      <w:bookmarkEnd w:id="21"/>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Trong quá trình thực hiện Thông tư này:</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1. Trường hợp có sự phát triển hoặc thay đổi về tính năng, công nghệ, chủng loại hàng hóa hoặc pháp luật có quy định khác đối với hàng hóa xuất khẩu, nhập khẩu trong lĩnh vực in, phát hành xuất bản phẩm, Cục Xuất bản, In và Phát hành có trách nhiệm nghiên cứu, đề xuất với Bộ trưởng Bộ Thông tin và Truyền thông xem xét sửa đổi, </w:t>
      </w:r>
      <w:r w:rsidRPr="00061D3E">
        <w:rPr>
          <w:rFonts w:asciiTheme="majorHAnsi" w:eastAsia="Times New Roman" w:hAnsiTheme="majorHAnsi" w:cstheme="majorHAnsi"/>
          <w:color w:val="000000"/>
          <w:sz w:val="28"/>
          <w:szCs w:val="28"/>
          <w:shd w:val="clear" w:color="auto" w:fill="FFFFFF"/>
          <w:vertAlign w:val="superscript"/>
          <w:lang w:val="fr-FR" w:eastAsia="vi-VN"/>
        </w:rPr>
        <w:t>bổ sung</w:t>
      </w:r>
      <w:r w:rsidRPr="00061D3E">
        <w:rPr>
          <w:rFonts w:asciiTheme="majorHAnsi" w:eastAsia="Times New Roman" w:hAnsiTheme="majorHAnsi" w:cstheme="majorHAnsi"/>
          <w:color w:val="000000"/>
          <w:sz w:val="28"/>
          <w:szCs w:val="28"/>
          <w:vertAlign w:val="superscript"/>
          <w:lang w:val="fr-FR" w:eastAsia="vi-VN"/>
        </w:rPr>
        <w:t> quy định của Thông tư này cho </w:t>
      </w:r>
      <w:r w:rsidRPr="00061D3E">
        <w:rPr>
          <w:rFonts w:asciiTheme="majorHAnsi" w:eastAsia="Times New Roman" w:hAnsiTheme="majorHAnsi" w:cstheme="majorHAnsi"/>
          <w:color w:val="000000"/>
          <w:sz w:val="28"/>
          <w:szCs w:val="28"/>
          <w:shd w:val="clear" w:color="auto" w:fill="FFFFFF"/>
          <w:vertAlign w:val="superscript"/>
          <w:lang w:val="fr-FR" w:eastAsia="vi-VN"/>
        </w:rPr>
        <w:t>phù hợp</w:t>
      </w:r>
      <w:r w:rsidRPr="00061D3E">
        <w:rPr>
          <w:rFonts w:asciiTheme="majorHAnsi" w:eastAsia="Times New Roman" w:hAnsiTheme="majorHAnsi" w:cstheme="majorHAnsi"/>
          <w:color w:val="000000"/>
          <w:sz w:val="28"/>
          <w:szCs w:val="28"/>
          <w:vertAlign w:val="superscript"/>
          <w:lang w:val="fr-FR" w:eastAsia="vi-VN"/>
        </w:rPr>
        <w: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2. Nếu có khó khăn, vướng mắc, đề nghị cơ quan, </w:t>
      </w:r>
      <w:r w:rsidRPr="00061D3E">
        <w:rPr>
          <w:rFonts w:asciiTheme="majorHAnsi" w:eastAsia="Times New Roman" w:hAnsiTheme="majorHAnsi" w:cstheme="majorHAnsi"/>
          <w:color w:val="000000"/>
          <w:sz w:val="28"/>
          <w:szCs w:val="28"/>
          <w:shd w:val="clear" w:color="auto" w:fill="FFFFFF"/>
          <w:vertAlign w:val="superscript"/>
          <w:lang w:val="fr-FR" w:eastAsia="vi-VN"/>
        </w:rPr>
        <w:t>tổ chức</w:t>
      </w:r>
      <w:r w:rsidRPr="00061D3E">
        <w:rPr>
          <w:rFonts w:asciiTheme="majorHAnsi" w:eastAsia="Times New Roman" w:hAnsiTheme="majorHAnsi" w:cstheme="majorHAnsi"/>
          <w:color w:val="000000"/>
          <w:sz w:val="28"/>
          <w:szCs w:val="28"/>
          <w:vertAlign w:val="superscript"/>
          <w:lang w:val="fr-FR" w:eastAsia="vi-VN"/>
        </w:rPr>
        <w:t>, cá nhân phản ảnh về Bộ Thông tin và Truyền thông (qua Cục Xuất bản, In và Phát hành) để xem xét, giải quyết.</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val="fr-FR"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061D3E" w:rsidRPr="00061D3E" w:rsidTr="00061D3E">
        <w:trPr>
          <w:tblCellSpacing w:w="0" w:type="dxa"/>
        </w:trPr>
        <w:tc>
          <w:tcPr>
            <w:tcW w:w="4428" w:type="dxa"/>
            <w:shd w:val="clear" w:color="auto" w:fill="FFFFFF"/>
            <w:tcMar>
              <w:top w:w="0" w:type="dxa"/>
              <w:left w:w="108" w:type="dxa"/>
              <w:bottom w:w="0" w:type="dxa"/>
              <w:right w:w="108" w:type="dxa"/>
            </w:tcMar>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i/>
                <w:iCs/>
                <w:color w:val="000000"/>
                <w:sz w:val="28"/>
                <w:szCs w:val="28"/>
                <w:vertAlign w:val="superscript"/>
                <w:lang w:eastAsia="vi-VN"/>
              </w:rPr>
              <w:lastRenderedPageBreak/>
              <w:t>Nơi nhận:</w:t>
            </w:r>
            <w:r w:rsidRPr="00061D3E">
              <w:rPr>
                <w:rFonts w:asciiTheme="majorHAnsi" w:eastAsia="Times New Roman" w:hAnsiTheme="majorHAnsi" w:cstheme="majorHAnsi"/>
                <w:b/>
                <w:bCs/>
                <w:i/>
                <w:iCs/>
                <w:color w:val="000000"/>
                <w:sz w:val="28"/>
                <w:szCs w:val="28"/>
                <w:vertAlign w:val="superscript"/>
                <w:lang w:eastAsia="vi-VN"/>
              </w:rPr>
              <w:br/>
            </w:r>
            <w:r w:rsidRPr="00061D3E">
              <w:rPr>
                <w:rFonts w:asciiTheme="majorHAnsi" w:eastAsia="Times New Roman" w:hAnsiTheme="majorHAnsi" w:cstheme="majorHAnsi"/>
                <w:color w:val="000000"/>
                <w:sz w:val="28"/>
                <w:szCs w:val="28"/>
                <w:vertAlign w:val="superscript"/>
                <w:lang w:eastAsia="vi-VN"/>
              </w:rPr>
              <w:t>- Thủ tướng Chính phủ;</w:t>
            </w:r>
            <w:r w:rsidRPr="00061D3E">
              <w:rPr>
                <w:rFonts w:asciiTheme="majorHAnsi" w:eastAsia="Times New Roman" w:hAnsiTheme="majorHAnsi" w:cstheme="majorHAnsi"/>
                <w:color w:val="000000"/>
                <w:sz w:val="28"/>
                <w:szCs w:val="28"/>
                <w:vertAlign w:val="superscript"/>
                <w:lang w:eastAsia="vi-VN"/>
              </w:rPr>
              <w:br/>
              <w:t>- Các Phó Thủ tướng Chính phủ;</w:t>
            </w:r>
            <w:r w:rsidRPr="00061D3E">
              <w:rPr>
                <w:rFonts w:asciiTheme="majorHAnsi" w:eastAsia="Times New Roman" w:hAnsiTheme="majorHAnsi" w:cstheme="majorHAnsi"/>
                <w:color w:val="000000"/>
                <w:sz w:val="28"/>
                <w:szCs w:val="28"/>
                <w:vertAlign w:val="superscript"/>
                <w:lang w:eastAsia="vi-VN"/>
              </w:rPr>
              <w:br/>
              <w:t>- Văn phòng Quốc hội;</w:t>
            </w:r>
            <w:r w:rsidRPr="00061D3E">
              <w:rPr>
                <w:rFonts w:asciiTheme="majorHAnsi" w:eastAsia="Times New Roman" w:hAnsiTheme="majorHAnsi" w:cstheme="majorHAnsi"/>
                <w:color w:val="000000"/>
                <w:sz w:val="28"/>
                <w:szCs w:val="28"/>
                <w:vertAlign w:val="superscript"/>
                <w:lang w:eastAsia="vi-VN"/>
              </w:rPr>
              <w:br/>
              <w:t>- Văn phòng Chủ tịch nước;</w:t>
            </w:r>
            <w:r w:rsidRPr="00061D3E">
              <w:rPr>
                <w:rFonts w:asciiTheme="majorHAnsi" w:eastAsia="Times New Roman" w:hAnsiTheme="majorHAnsi" w:cstheme="majorHAnsi"/>
                <w:color w:val="000000"/>
                <w:sz w:val="28"/>
                <w:szCs w:val="28"/>
                <w:vertAlign w:val="superscript"/>
                <w:lang w:eastAsia="vi-VN"/>
              </w:rPr>
              <w:br/>
              <w:t>- Văn phòng Chính phủ;</w:t>
            </w:r>
            <w:r w:rsidRPr="00061D3E">
              <w:rPr>
                <w:rFonts w:asciiTheme="majorHAnsi" w:eastAsia="Times New Roman" w:hAnsiTheme="majorHAnsi" w:cstheme="majorHAnsi"/>
                <w:color w:val="000000"/>
                <w:sz w:val="28"/>
                <w:szCs w:val="28"/>
                <w:vertAlign w:val="superscript"/>
                <w:lang w:eastAsia="vi-VN"/>
              </w:rPr>
              <w:br/>
              <w:t>- Văn phòng TW và các Ban của Đảng;</w:t>
            </w:r>
            <w:r w:rsidRPr="00061D3E">
              <w:rPr>
                <w:rFonts w:asciiTheme="majorHAnsi" w:eastAsia="Times New Roman" w:hAnsiTheme="majorHAnsi" w:cstheme="majorHAnsi"/>
                <w:color w:val="000000"/>
                <w:sz w:val="28"/>
                <w:szCs w:val="28"/>
                <w:vertAlign w:val="superscript"/>
                <w:lang w:eastAsia="vi-VN"/>
              </w:rPr>
              <w:br/>
              <w:t>- Văn phòng Tổng Bí thư;</w:t>
            </w:r>
            <w:r w:rsidRPr="00061D3E">
              <w:rPr>
                <w:rFonts w:asciiTheme="majorHAnsi" w:eastAsia="Times New Roman" w:hAnsiTheme="majorHAnsi" w:cstheme="majorHAnsi"/>
                <w:color w:val="000000"/>
                <w:sz w:val="28"/>
                <w:szCs w:val="28"/>
                <w:vertAlign w:val="superscript"/>
                <w:lang w:eastAsia="vi-VN"/>
              </w:rPr>
              <w:br/>
              <w:t>- Các Bộ, cơ quan ngang Bộ, cơ quan thuộc Chính phủ;</w:t>
            </w:r>
            <w:r w:rsidRPr="00061D3E">
              <w:rPr>
                <w:rFonts w:asciiTheme="majorHAnsi" w:eastAsia="Times New Roman" w:hAnsiTheme="majorHAnsi" w:cstheme="majorHAnsi"/>
                <w:color w:val="000000"/>
                <w:sz w:val="28"/>
                <w:szCs w:val="28"/>
                <w:vertAlign w:val="superscript"/>
                <w:lang w:eastAsia="vi-VN"/>
              </w:rPr>
              <w:br/>
              <w:t>- Cục Kiểm tra văn bản (Bộ Tư pháp);</w:t>
            </w:r>
            <w:r w:rsidRPr="00061D3E">
              <w:rPr>
                <w:rFonts w:asciiTheme="majorHAnsi" w:eastAsia="Times New Roman" w:hAnsiTheme="majorHAnsi" w:cstheme="majorHAnsi"/>
                <w:color w:val="000000"/>
                <w:sz w:val="28"/>
                <w:szCs w:val="28"/>
                <w:vertAlign w:val="superscript"/>
                <w:lang w:eastAsia="vi-VN"/>
              </w:rPr>
              <w:br/>
              <w:t>- UBND và Sở TTTT các tỉnh, </w:t>
            </w:r>
            <w:r w:rsidRPr="00061D3E">
              <w:rPr>
                <w:rFonts w:asciiTheme="majorHAnsi" w:eastAsia="Times New Roman" w:hAnsiTheme="majorHAnsi" w:cstheme="majorHAnsi"/>
                <w:color w:val="000000"/>
                <w:sz w:val="28"/>
                <w:szCs w:val="28"/>
                <w:shd w:val="clear" w:color="auto" w:fill="FFFFFF"/>
                <w:vertAlign w:val="superscript"/>
                <w:lang w:eastAsia="vi-VN"/>
              </w:rPr>
              <w:t>thành phố</w:t>
            </w:r>
            <w:r w:rsidRPr="00061D3E">
              <w:rPr>
                <w:rFonts w:asciiTheme="majorHAnsi" w:eastAsia="Times New Roman" w:hAnsiTheme="majorHAnsi" w:cstheme="majorHAnsi"/>
                <w:color w:val="000000"/>
                <w:sz w:val="28"/>
                <w:szCs w:val="28"/>
                <w:vertAlign w:val="superscript"/>
                <w:lang w:eastAsia="vi-VN"/>
              </w:rPr>
              <w:t> trực thuộc TW;</w:t>
            </w:r>
            <w:r w:rsidRPr="00061D3E">
              <w:rPr>
                <w:rFonts w:asciiTheme="majorHAnsi" w:eastAsia="Times New Roman" w:hAnsiTheme="majorHAnsi" w:cstheme="majorHAnsi"/>
                <w:color w:val="000000"/>
                <w:sz w:val="28"/>
                <w:szCs w:val="28"/>
                <w:vertAlign w:val="superscript"/>
                <w:lang w:eastAsia="vi-VN"/>
              </w:rPr>
              <w:br/>
              <w:t>- Công báo; Cổng TTĐT </w:t>
            </w:r>
            <w:r w:rsidRPr="00061D3E">
              <w:rPr>
                <w:rFonts w:asciiTheme="majorHAnsi" w:eastAsia="Times New Roman" w:hAnsiTheme="majorHAnsi" w:cstheme="majorHAnsi"/>
                <w:color w:val="000000"/>
                <w:sz w:val="28"/>
                <w:szCs w:val="28"/>
                <w:shd w:val="clear" w:color="auto" w:fill="FFFFFF"/>
                <w:vertAlign w:val="superscript"/>
                <w:lang w:eastAsia="vi-VN"/>
              </w:rPr>
              <w:t>Chính phủ</w:t>
            </w:r>
            <w:r w:rsidRPr="00061D3E">
              <w:rPr>
                <w:rFonts w:asciiTheme="majorHAnsi" w:eastAsia="Times New Roman" w:hAnsiTheme="majorHAnsi" w:cstheme="majorHAnsi"/>
                <w:color w:val="000000"/>
                <w:sz w:val="28"/>
                <w:szCs w:val="28"/>
                <w:vertAlign w:val="superscript"/>
                <w:lang w:eastAsia="vi-VN"/>
              </w:rPr>
              <w:t>;</w:t>
            </w:r>
            <w:r w:rsidRPr="00061D3E">
              <w:rPr>
                <w:rFonts w:asciiTheme="majorHAnsi" w:eastAsia="Times New Roman" w:hAnsiTheme="majorHAnsi" w:cstheme="majorHAnsi"/>
                <w:color w:val="000000"/>
                <w:sz w:val="28"/>
                <w:szCs w:val="28"/>
                <w:vertAlign w:val="superscript"/>
                <w:lang w:eastAsia="vi-VN"/>
              </w:rPr>
              <w:br/>
              <w:t>- Bộ TTTT: Bộ trưởng và các Thứ trưởng;</w:t>
            </w:r>
            <w:r w:rsidRPr="00061D3E">
              <w:rPr>
                <w:rFonts w:asciiTheme="majorHAnsi" w:eastAsia="Times New Roman" w:hAnsiTheme="majorHAnsi" w:cstheme="majorHAnsi"/>
                <w:color w:val="000000"/>
                <w:sz w:val="28"/>
                <w:szCs w:val="28"/>
                <w:vertAlign w:val="superscript"/>
                <w:lang w:eastAsia="vi-VN"/>
              </w:rPr>
              <w:br/>
              <w:t>- Các cơ quan, đơn vị thuộc Bộ;</w:t>
            </w:r>
            <w:r w:rsidRPr="00061D3E">
              <w:rPr>
                <w:rFonts w:asciiTheme="majorHAnsi" w:eastAsia="Times New Roman" w:hAnsiTheme="majorHAnsi" w:cstheme="majorHAnsi"/>
                <w:color w:val="000000"/>
                <w:sz w:val="28"/>
                <w:szCs w:val="28"/>
                <w:vertAlign w:val="superscript"/>
                <w:lang w:eastAsia="vi-VN"/>
              </w:rPr>
              <w:br/>
              <w:t>- Cổng TTĐT Bộ Thông tin và Truyền thông;</w:t>
            </w:r>
            <w:r w:rsidRPr="00061D3E">
              <w:rPr>
                <w:rFonts w:asciiTheme="majorHAnsi" w:eastAsia="Times New Roman" w:hAnsiTheme="majorHAnsi" w:cstheme="majorHAnsi"/>
                <w:color w:val="000000"/>
                <w:sz w:val="28"/>
                <w:szCs w:val="28"/>
                <w:vertAlign w:val="superscript"/>
                <w:lang w:eastAsia="vi-VN"/>
              </w:rPr>
              <w:br/>
              <w:t>- Lưu: VT, CXBIPH.</w:t>
            </w:r>
          </w:p>
        </w:tc>
        <w:tc>
          <w:tcPr>
            <w:tcW w:w="4428" w:type="dxa"/>
            <w:shd w:val="clear" w:color="auto" w:fill="FFFFFF"/>
            <w:tcMar>
              <w:top w:w="0" w:type="dxa"/>
              <w:left w:w="108" w:type="dxa"/>
              <w:bottom w:w="0" w:type="dxa"/>
              <w:right w:w="108" w:type="dxa"/>
            </w:tcMar>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lastRenderedPageBreak/>
              <w:t>BỘ TRƯỞNG</w:t>
            </w:r>
            <w:r w:rsidRPr="00061D3E">
              <w:rPr>
                <w:rFonts w:asciiTheme="majorHAnsi" w:eastAsia="Times New Roman" w:hAnsiTheme="majorHAnsi" w:cstheme="majorHAnsi"/>
                <w:b/>
                <w:bCs/>
                <w:color w:val="000000"/>
                <w:sz w:val="28"/>
                <w:szCs w:val="28"/>
                <w:vertAlign w:val="superscript"/>
                <w:lang w:eastAsia="vi-VN"/>
              </w:rPr>
              <w:br/>
            </w:r>
            <w:r w:rsidRPr="00061D3E">
              <w:rPr>
                <w:rFonts w:asciiTheme="majorHAnsi" w:eastAsia="Times New Roman" w:hAnsiTheme="majorHAnsi" w:cstheme="majorHAnsi"/>
                <w:b/>
                <w:bCs/>
                <w:color w:val="000000"/>
                <w:sz w:val="28"/>
                <w:szCs w:val="28"/>
                <w:vertAlign w:val="superscript"/>
                <w:lang w:eastAsia="vi-VN"/>
              </w:rPr>
              <w:br/>
            </w:r>
            <w:r w:rsidRPr="00061D3E">
              <w:rPr>
                <w:rFonts w:asciiTheme="majorHAnsi" w:eastAsia="Times New Roman" w:hAnsiTheme="majorHAnsi" w:cstheme="majorHAnsi"/>
                <w:b/>
                <w:bCs/>
                <w:color w:val="000000"/>
                <w:sz w:val="28"/>
                <w:szCs w:val="28"/>
                <w:vertAlign w:val="superscript"/>
                <w:lang w:eastAsia="vi-VN"/>
              </w:rPr>
              <w:lastRenderedPageBreak/>
              <w:br/>
            </w:r>
            <w:r w:rsidRPr="00061D3E">
              <w:rPr>
                <w:rFonts w:asciiTheme="majorHAnsi" w:eastAsia="Times New Roman" w:hAnsiTheme="majorHAnsi" w:cstheme="majorHAnsi"/>
                <w:b/>
                <w:bCs/>
                <w:color w:val="000000"/>
                <w:sz w:val="28"/>
                <w:szCs w:val="28"/>
                <w:vertAlign w:val="superscript"/>
                <w:lang w:eastAsia="vi-VN"/>
              </w:rPr>
              <w:br/>
            </w:r>
            <w:r w:rsidRPr="00061D3E">
              <w:rPr>
                <w:rFonts w:asciiTheme="majorHAnsi" w:eastAsia="Times New Roman" w:hAnsiTheme="majorHAnsi" w:cstheme="majorHAnsi"/>
                <w:b/>
                <w:bCs/>
                <w:color w:val="000000"/>
                <w:sz w:val="28"/>
                <w:szCs w:val="28"/>
                <w:vertAlign w:val="superscript"/>
                <w:lang w:eastAsia="vi-VN"/>
              </w:rPr>
              <w:br/>
              <w:t>Nguyễn Bắc Son</w:t>
            </w:r>
          </w:p>
        </w:tc>
      </w:tr>
    </w:tbl>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lastRenderedPageBreak/>
        <w:t> </w:t>
      </w:r>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22" w:name="chuong_phuluc_1"/>
      <w:r w:rsidRPr="00061D3E">
        <w:rPr>
          <w:rFonts w:asciiTheme="majorHAnsi" w:eastAsia="Times New Roman" w:hAnsiTheme="majorHAnsi" w:cstheme="majorHAnsi"/>
          <w:b/>
          <w:bCs/>
          <w:color w:val="000000"/>
          <w:sz w:val="28"/>
          <w:szCs w:val="28"/>
          <w:vertAlign w:val="superscript"/>
          <w:lang w:eastAsia="vi-VN"/>
        </w:rPr>
        <w:t>PHỤ LỤC I</w:t>
      </w:r>
      <w:bookmarkEnd w:id="22"/>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23" w:name="chuong_phuluc_1_name"/>
      <w:r w:rsidRPr="00061D3E">
        <w:rPr>
          <w:rFonts w:asciiTheme="majorHAnsi" w:eastAsia="Times New Roman" w:hAnsiTheme="majorHAnsi" w:cstheme="majorHAnsi"/>
          <w:color w:val="000000"/>
          <w:sz w:val="28"/>
          <w:szCs w:val="28"/>
          <w:vertAlign w:val="superscript"/>
          <w:lang w:eastAsia="vi-VN"/>
        </w:rPr>
        <w:t>DANH MỤC, THỦ TỤC NHẬP KHẨU VÀ YÊU CẦU ĐỐI VỚI HÀNG HÓA NHẬP KHẨU TRONG LĨNH VỰC IN</w:t>
      </w:r>
      <w:bookmarkEnd w:id="23"/>
      <w:r w:rsidRPr="00061D3E">
        <w:rPr>
          <w:rFonts w:asciiTheme="majorHAnsi" w:eastAsia="Times New Roman" w:hAnsiTheme="majorHAnsi" w:cstheme="majorHAnsi"/>
          <w:color w:val="000000"/>
          <w:sz w:val="28"/>
          <w:szCs w:val="28"/>
          <w:vertAlign w:val="superscript"/>
          <w:lang w:eastAsia="vi-VN"/>
        </w:rPr>
        <w:br/>
      </w:r>
      <w:r w:rsidRPr="00061D3E">
        <w:rPr>
          <w:rFonts w:asciiTheme="majorHAnsi" w:eastAsia="Times New Roman" w:hAnsiTheme="majorHAnsi" w:cstheme="majorHAnsi"/>
          <w:i/>
          <w:iCs/>
          <w:color w:val="000000"/>
          <w:sz w:val="28"/>
          <w:szCs w:val="28"/>
          <w:vertAlign w:val="superscript"/>
          <w:lang w:eastAsia="vi-VN"/>
        </w:rPr>
        <w:t>(Ban hành kèm theo Thông tư </w:t>
      </w:r>
      <w:r w:rsidRPr="00061D3E">
        <w:rPr>
          <w:rFonts w:asciiTheme="majorHAnsi" w:eastAsia="Times New Roman" w:hAnsiTheme="majorHAnsi" w:cstheme="majorHAnsi"/>
          <w:i/>
          <w:iCs/>
          <w:color w:val="000000"/>
          <w:sz w:val="28"/>
          <w:szCs w:val="28"/>
          <w:shd w:val="clear" w:color="auto" w:fill="FFFFFF"/>
          <w:vertAlign w:val="superscript"/>
          <w:lang w:eastAsia="vi-VN"/>
        </w:rPr>
        <w:t>số</w:t>
      </w:r>
      <w:r w:rsidRPr="00061D3E">
        <w:rPr>
          <w:rFonts w:asciiTheme="majorHAnsi" w:eastAsia="Times New Roman" w:hAnsiTheme="majorHAnsi" w:cstheme="majorHAnsi"/>
          <w:i/>
          <w:iCs/>
          <w:color w:val="000000"/>
          <w:sz w:val="28"/>
          <w:szCs w:val="28"/>
          <w:vertAlign w:val="superscript"/>
          <w:lang w:eastAsia="vi-VN"/>
        </w:rPr>
        <w:t> 16/2015/TT-BTTTT ngày 17 tháng 6 năm 2015 của Bộ trưởng Bộ Thông tin và Truyền thông)</w:t>
      </w:r>
    </w:p>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1. </w:t>
      </w:r>
      <w:r w:rsidRPr="00061D3E">
        <w:rPr>
          <w:rFonts w:asciiTheme="majorHAnsi" w:eastAsia="Times New Roman" w:hAnsiTheme="majorHAnsi" w:cstheme="majorHAnsi"/>
          <w:b/>
          <w:bCs/>
          <w:color w:val="000000"/>
          <w:sz w:val="28"/>
          <w:szCs w:val="28"/>
          <w:shd w:val="clear" w:color="auto" w:fill="FFFFFF"/>
          <w:vertAlign w:val="superscript"/>
          <w:lang w:eastAsia="vi-VN"/>
        </w:rPr>
        <w:t>Thiết bị</w:t>
      </w:r>
      <w:r w:rsidRPr="00061D3E">
        <w:rPr>
          <w:rFonts w:asciiTheme="majorHAnsi" w:eastAsia="Times New Roman" w:hAnsiTheme="majorHAnsi" w:cstheme="majorHAnsi"/>
          <w:b/>
          <w:bCs/>
          <w:color w:val="000000"/>
          <w:sz w:val="28"/>
          <w:szCs w:val="28"/>
          <w:vertAlign w:val="superscript"/>
          <w:lang w:eastAsia="vi-VN"/>
        </w:rPr>
        <w:t> chế bản</w:t>
      </w:r>
    </w:p>
    <w:tbl>
      <w:tblPr>
        <w:tblW w:w="0" w:type="dxa"/>
        <w:tblCellSpacing w:w="0" w:type="dxa"/>
        <w:shd w:val="clear" w:color="auto" w:fill="FFFFFF"/>
        <w:tblCellMar>
          <w:left w:w="0" w:type="dxa"/>
          <w:right w:w="0" w:type="dxa"/>
        </w:tblCellMar>
        <w:tblLook w:val="04A0"/>
      </w:tblPr>
      <w:tblGrid>
        <w:gridCol w:w="766"/>
        <w:gridCol w:w="4007"/>
        <w:gridCol w:w="1765"/>
        <w:gridCol w:w="2528"/>
      </w:tblGrid>
      <w:tr w:rsidR="00061D3E" w:rsidRPr="00061D3E" w:rsidTr="00061D3E">
        <w:trPr>
          <w:tblCellSpacing w:w="0" w:type="dxa"/>
        </w:trPr>
        <w:tc>
          <w:tcPr>
            <w:tcW w:w="773"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STT</w:t>
            </w:r>
          </w:p>
        </w:tc>
        <w:tc>
          <w:tcPr>
            <w:tcW w:w="406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Thiết bị</w:t>
            </w:r>
          </w:p>
        </w:tc>
        <w:tc>
          <w:tcPr>
            <w:tcW w:w="178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Thủ tục nhập khẩu</w:t>
            </w:r>
          </w:p>
        </w:tc>
        <w:tc>
          <w:tcPr>
            <w:tcW w:w="2554"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Yêu cầu đối </w:t>
            </w:r>
            <w:r w:rsidRPr="00061D3E">
              <w:rPr>
                <w:rFonts w:asciiTheme="majorHAnsi" w:eastAsia="Times New Roman" w:hAnsiTheme="majorHAnsi" w:cstheme="majorHAnsi"/>
                <w:b/>
                <w:bCs/>
                <w:color w:val="000000"/>
                <w:sz w:val="28"/>
                <w:szCs w:val="28"/>
                <w:shd w:val="clear" w:color="auto" w:fill="FFFFFF"/>
                <w:vertAlign w:val="superscript"/>
                <w:lang w:eastAsia="vi-VN"/>
              </w:rPr>
              <w:t>với</w:t>
            </w:r>
            <w:r w:rsidRPr="00061D3E">
              <w:rPr>
                <w:rFonts w:asciiTheme="majorHAnsi" w:eastAsia="Times New Roman" w:hAnsiTheme="majorHAnsi" w:cstheme="majorHAnsi"/>
                <w:b/>
                <w:bCs/>
                <w:color w:val="000000"/>
                <w:sz w:val="28"/>
                <w:szCs w:val="28"/>
                <w:vertAlign w:val="superscript"/>
                <w:lang w:eastAsia="vi-VN"/>
              </w:rPr>
              <w:t> hàng hóa</w:t>
            </w:r>
          </w:p>
        </w:tc>
      </w:tr>
      <w:tr w:rsidR="00061D3E" w:rsidRPr="00061D3E" w:rsidTr="00061D3E">
        <w:trPr>
          <w:tblCellSpacing w:w="0" w:type="dxa"/>
        </w:trPr>
        <w:tc>
          <w:tcPr>
            <w:tcW w:w="773"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w:t>
            </w:r>
          </w:p>
        </w:tc>
        <w:tc>
          <w:tcPr>
            <w:tcW w:w="406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chuyên dùng ghi phim, ghi kẽm, tạo khuôn in trong hoạt động in</w:t>
            </w:r>
          </w:p>
        </w:tc>
        <w:tc>
          <w:tcPr>
            <w:tcW w:w="178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255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Được sản xuất không quá 10 năm tính từ năm sản xuất đến năm nhập khẩu</w:t>
            </w:r>
          </w:p>
        </w:tc>
      </w:tr>
      <w:tr w:rsidR="00061D3E" w:rsidRPr="00061D3E" w:rsidTr="00061D3E">
        <w:trPr>
          <w:tblCellSpacing w:w="0" w:type="dxa"/>
        </w:trPr>
        <w:tc>
          <w:tcPr>
            <w:tcW w:w="773"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w:t>
            </w:r>
          </w:p>
        </w:tc>
        <w:tc>
          <w:tcPr>
            <w:tcW w:w="406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phơi bản; máy tráng hiện, rửa bản; máy nướng bản; máy đục lỗ bản kẽm và thiết bị có tính năng tương tự</w:t>
            </w:r>
          </w:p>
        </w:tc>
        <w:tc>
          <w:tcPr>
            <w:tcW w:w="178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Không phải có giấy phép nhập khẩu</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r w:rsidR="00061D3E" w:rsidRPr="00061D3E" w:rsidTr="00061D3E">
        <w:trPr>
          <w:tblCellSpacing w:w="0" w:type="dxa"/>
        </w:trPr>
        <w:tc>
          <w:tcPr>
            <w:tcW w:w="773"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3</w:t>
            </w:r>
          </w:p>
        </w:tc>
        <w:tc>
          <w:tcPr>
            <w:tcW w:w="4066"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Loại khác</w:t>
            </w:r>
          </w:p>
        </w:tc>
        <w:tc>
          <w:tcPr>
            <w:tcW w:w="1786"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xml:space="preserve">Không phải có giấy </w:t>
            </w:r>
            <w:r w:rsidRPr="00061D3E">
              <w:rPr>
                <w:rFonts w:asciiTheme="majorHAnsi" w:eastAsia="Times New Roman" w:hAnsiTheme="majorHAnsi" w:cstheme="majorHAnsi"/>
                <w:color w:val="000000"/>
                <w:sz w:val="28"/>
                <w:szCs w:val="28"/>
                <w:vertAlign w:val="superscript"/>
                <w:lang w:eastAsia="vi-VN"/>
              </w:rPr>
              <w:lastRenderedPageBreak/>
              <w:t>phép nhập khẩu</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bl>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lastRenderedPageBreak/>
        <w:t>2. </w:t>
      </w:r>
      <w:r w:rsidRPr="00061D3E">
        <w:rPr>
          <w:rFonts w:asciiTheme="majorHAnsi" w:eastAsia="Times New Roman" w:hAnsiTheme="majorHAnsi" w:cstheme="majorHAnsi"/>
          <w:b/>
          <w:bCs/>
          <w:color w:val="000000"/>
          <w:sz w:val="28"/>
          <w:szCs w:val="28"/>
          <w:shd w:val="clear" w:color="auto" w:fill="FFFFFF"/>
          <w:vertAlign w:val="superscript"/>
          <w:lang w:eastAsia="vi-VN"/>
        </w:rPr>
        <w:t>Thiết bị</w:t>
      </w:r>
      <w:r w:rsidRPr="00061D3E">
        <w:rPr>
          <w:rFonts w:asciiTheme="majorHAnsi" w:eastAsia="Times New Roman" w:hAnsiTheme="majorHAnsi" w:cstheme="majorHAnsi"/>
          <w:b/>
          <w:bCs/>
          <w:color w:val="000000"/>
          <w:sz w:val="28"/>
          <w:szCs w:val="28"/>
          <w:vertAlign w:val="superscript"/>
          <w:lang w:eastAsia="vi-VN"/>
        </w:rPr>
        <w:t> in</w:t>
      </w:r>
    </w:p>
    <w:tbl>
      <w:tblPr>
        <w:tblW w:w="8640" w:type="dxa"/>
        <w:tblCellSpacing w:w="0" w:type="dxa"/>
        <w:shd w:val="clear" w:color="auto" w:fill="FFFFFF"/>
        <w:tblCellMar>
          <w:left w:w="0" w:type="dxa"/>
          <w:right w:w="0" w:type="dxa"/>
        </w:tblCellMar>
        <w:tblLook w:val="04A0"/>
      </w:tblPr>
      <w:tblGrid>
        <w:gridCol w:w="749"/>
        <w:gridCol w:w="3817"/>
        <w:gridCol w:w="1691"/>
        <w:gridCol w:w="2383"/>
      </w:tblGrid>
      <w:tr w:rsidR="00061D3E" w:rsidRPr="00061D3E" w:rsidTr="00061D3E">
        <w:trPr>
          <w:tblCellSpacing w:w="0" w:type="dxa"/>
        </w:trPr>
        <w:tc>
          <w:tcPr>
            <w:tcW w:w="75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STT</w:t>
            </w:r>
          </w:p>
        </w:tc>
        <w:tc>
          <w:tcPr>
            <w:tcW w:w="3819"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Thiết bị</w:t>
            </w:r>
          </w:p>
        </w:tc>
        <w:tc>
          <w:tcPr>
            <w:tcW w:w="1692"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Thủ tục nhập khẩu</w:t>
            </w:r>
          </w:p>
        </w:tc>
        <w:tc>
          <w:tcPr>
            <w:tcW w:w="2384"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Yêu cầu đối với hàng hóa</w:t>
            </w:r>
          </w:p>
        </w:tc>
      </w:tr>
      <w:tr w:rsidR="00061D3E" w:rsidRPr="00061D3E" w:rsidTr="00061D3E">
        <w:trPr>
          <w:tblCellSpacing w:w="0" w:type="dxa"/>
        </w:trPr>
        <w:tc>
          <w:tcPr>
            <w:tcW w:w="75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I</w:t>
            </w:r>
          </w:p>
        </w:tc>
        <w:tc>
          <w:tcPr>
            <w:tcW w:w="3819"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Máy in sử dụng công nghệ ốp-xét (offset), ống đồng, flexo và máy in lưới (lụa)</w:t>
            </w:r>
          </w:p>
        </w:tc>
        <w:tc>
          <w:tcPr>
            <w:tcW w:w="1692"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2384"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Được sản xuất không quá 20 năm tính từ năm sản xuất đến năm nhập khẩu</w:t>
            </w:r>
          </w:p>
        </w:tc>
      </w:tr>
      <w:tr w:rsidR="00061D3E" w:rsidRPr="00061D3E" w:rsidTr="00061D3E">
        <w:trPr>
          <w:tblCellSpacing w:w="0" w:type="dxa"/>
        </w:trPr>
        <w:tc>
          <w:tcPr>
            <w:tcW w:w="75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II</w:t>
            </w:r>
          </w:p>
        </w:tc>
        <w:tc>
          <w:tcPr>
            <w:tcW w:w="3819"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Máy in sử dụng công nghệ kỹ thuật số</w:t>
            </w:r>
          </w:p>
        </w:tc>
        <w:tc>
          <w:tcPr>
            <w:tcW w:w="1692"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tc>
        <w:tc>
          <w:tcPr>
            <w:tcW w:w="2384"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tc>
      </w:tr>
      <w:tr w:rsidR="00061D3E" w:rsidRPr="00061D3E" w:rsidTr="00061D3E">
        <w:trPr>
          <w:tblCellSpacing w:w="0" w:type="dxa"/>
        </w:trPr>
        <w:tc>
          <w:tcPr>
            <w:tcW w:w="75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w:t>
            </w:r>
          </w:p>
        </w:tc>
        <w:tc>
          <w:tcPr>
            <w:tcW w:w="3819"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laser</w:t>
            </w:r>
          </w:p>
        </w:tc>
        <w:tc>
          <w:tcPr>
            <w:tcW w:w="1692"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tc>
        <w:tc>
          <w:tcPr>
            <w:tcW w:w="2384"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tc>
      </w:tr>
      <w:tr w:rsidR="00061D3E" w:rsidRPr="00061D3E" w:rsidTr="00061D3E">
        <w:trPr>
          <w:tblCellSpacing w:w="0" w:type="dxa"/>
        </w:trPr>
        <w:tc>
          <w:tcPr>
            <w:tcW w:w="75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1.1</w:t>
            </w:r>
          </w:p>
        </w:tc>
        <w:tc>
          <w:tcPr>
            <w:tcW w:w="3819"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laser có tốc độ in trên 50 tờ (khổ A4)/phút</w:t>
            </w:r>
          </w:p>
        </w:tc>
        <w:tc>
          <w:tcPr>
            <w:tcW w:w="1692"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shd w:val="clear" w:color="auto" w:fill="FFFFFF"/>
                <w:vertAlign w:val="superscript"/>
                <w:lang w:eastAsia="vi-VN"/>
              </w:rPr>
              <w:t>Giấy</w:t>
            </w:r>
            <w:r w:rsidRPr="00061D3E">
              <w:rPr>
                <w:rFonts w:asciiTheme="majorHAnsi" w:eastAsia="Times New Roman" w:hAnsiTheme="majorHAnsi" w:cstheme="majorHAnsi"/>
                <w:color w:val="000000"/>
                <w:sz w:val="28"/>
                <w:szCs w:val="28"/>
                <w:vertAlign w:val="superscript"/>
                <w:lang w:eastAsia="vi-VN"/>
              </w:rPr>
              <w:t> phép nhập khẩu</w:t>
            </w:r>
          </w:p>
        </w:tc>
        <w:tc>
          <w:tcPr>
            <w:tcW w:w="2384" w:type="dxa"/>
            <w:vMerge w:val="restart"/>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Được sản xuất không quá 07 năm tính từ năm sản xuất đến năm nhập khẩu</w:t>
            </w:r>
          </w:p>
        </w:tc>
      </w:tr>
      <w:tr w:rsidR="00061D3E" w:rsidRPr="00061D3E" w:rsidTr="00061D3E">
        <w:trPr>
          <w:tblCellSpacing w:w="0" w:type="dxa"/>
        </w:trPr>
        <w:tc>
          <w:tcPr>
            <w:tcW w:w="75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1.2</w:t>
            </w:r>
          </w:p>
        </w:tc>
        <w:tc>
          <w:tcPr>
            <w:tcW w:w="3819"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laser có tốc độ in trên 50 tờ (khổ A4)/phút kết hợp tính năng photocopy màu (đa màu)</w:t>
            </w:r>
          </w:p>
        </w:tc>
        <w:tc>
          <w:tcPr>
            <w:tcW w:w="1692"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r w:rsidR="00061D3E" w:rsidRPr="00061D3E" w:rsidTr="00061D3E">
        <w:trPr>
          <w:tblCellSpacing w:w="0" w:type="dxa"/>
        </w:trPr>
        <w:tc>
          <w:tcPr>
            <w:tcW w:w="75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1.3</w:t>
            </w:r>
          </w:p>
        </w:tc>
        <w:tc>
          <w:tcPr>
            <w:tcW w:w="3819"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laser có tốc độ in từ 50 tờ (khổ A4)/phút trở xuống có kết hợp tính năng photocopy màu (đa màu)</w:t>
            </w:r>
          </w:p>
        </w:tc>
        <w:tc>
          <w:tcPr>
            <w:tcW w:w="1692"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238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Chưa qua sử dụng (mới 100%) và được sản xuất không quá 03 năm tính từ năm sản xuất đến năm nhập khẩu</w:t>
            </w:r>
          </w:p>
        </w:tc>
      </w:tr>
      <w:tr w:rsidR="00061D3E" w:rsidRPr="00061D3E" w:rsidTr="00061D3E">
        <w:trPr>
          <w:tblCellSpacing w:w="0" w:type="dxa"/>
        </w:trPr>
        <w:tc>
          <w:tcPr>
            <w:tcW w:w="750"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1.4</w:t>
            </w:r>
          </w:p>
        </w:tc>
        <w:tc>
          <w:tcPr>
            <w:tcW w:w="3819"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laser có tốc độ in từ 50 tờ (khổ A4)/phút trở xuống.</w:t>
            </w:r>
          </w:p>
        </w:tc>
        <w:tc>
          <w:tcPr>
            <w:tcW w:w="1692"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Không phải có giấy phép nhập khẩu</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r w:rsidR="00061D3E" w:rsidRPr="00061D3E" w:rsidTr="00061D3E">
        <w:trPr>
          <w:tblCellSpacing w:w="0" w:type="dxa"/>
        </w:trPr>
        <w:tc>
          <w:tcPr>
            <w:tcW w:w="750"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w:t>
            </w:r>
          </w:p>
        </w:tc>
        <w:tc>
          <w:tcPr>
            <w:tcW w:w="3819"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phun</w:t>
            </w:r>
          </w:p>
        </w:tc>
        <w:tc>
          <w:tcPr>
            <w:tcW w:w="1692"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tc>
        <w:tc>
          <w:tcPr>
            <w:tcW w:w="2384" w:type="dxa"/>
            <w:tcBorders>
              <w:top w:val="nil"/>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tc>
      </w:tr>
      <w:tr w:rsidR="00061D3E" w:rsidRPr="00061D3E" w:rsidTr="00061D3E">
        <w:trPr>
          <w:tblCellSpacing w:w="0" w:type="dxa"/>
        </w:trPr>
        <w:tc>
          <w:tcPr>
            <w:tcW w:w="750"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2.1</w:t>
            </w:r>
          </w:p>
        </w:tc>
        <w:tc>
          <w:tcPr>
            <w:tcW w:w="3819"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phun có tốc độ in trên 50 tờ (khổ A4)/phút hoặc có khổ in trên A3</w:t>
            </w:r>
          </w:p>
        </w:tc>
        <w:tc>
          <w:tcPr>
            <w:tcW w:w="1692"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2384" w:type="dxa"/>
            <w:vMerge w:val="restart"/>
            <w:tcBorders>
              <w:top w:val="nil"/>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Được sản xuất không quá 07 năm tính từ năm sản xuất đến năm nhập khẩu</w:t>
            </w:r>
          </w:p>
        </w:tc>
      </w:tr>
      <w:tr w:rsidR="00061D3E" w:rsidRPr="00061D3E" w:rsidTr="00061D3E">
        <w:trPr>
          <w:tblCellSpacing w:w="0" w:type="dxa"/>
        </w:trPr>
        <w:tc>
          <w:tcPr>
            <w:tcW w:w="750"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2.2</w:t>
            </w:r>
          </w:p>
        </w:tc>
        <w:tc>
          <w:tcPr>
            <w:tcW w:w="3819"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phun có tốc độ in trên 50 tờ (khổ A4)/phút hoặc có khổ in trên A3 kết hợp tính năng photocopy màu (đa màu)</w:t>
            </w:r>
          </w:p>
        </w:tc>
        <w:tc>
          <w:tcPr>
            <w:tcW w:w="1692"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r w:rsidR="00061D3E" w:rsidRPr="00061D3E" w:rsidTr="00061D3E">
        <w:trPr>
          <w:tblCellSpacing w:w="0" w:type="dxa"/>
        </w:trPr>
        <w:tc>
          <w:tcPr>
            <w:tcW w:w="750"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2.3</w:t>
            </w:r>
          </w:p>
        </w:tc>
        <w:tc>
          <w:tcPr>
            <w:tcW w:w="3819"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phun có tốc độ in từ 50 tờ (khổ A4)/phút trở xuống hoặc có khổ A3 trở xuống kết hợp tính năng photocopy màu (đa màu)</w:t>
            </w:r>
          </w:p>
        </w:tc>
        <w:tc>
          <w:tcPr>
            <w:tcW w:w="1692"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2384" w:type="dxa"/>
            <w:vMerge w:val="restart"/>
            <w:tcBorders>
              <w:top w:val="nil"/>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Chưa qua sử dụng (mới 100%) và được sản xuất không quá 03 năm tính từ năm sản xuất đến năm nhập khẩu</w:t>
            </w:r>
          </w:p>
        </w:tc>
      </w:tr>
      <w:tr w:rsidR="00061D3E" w:rsidRPr="00061D3E" w:rsidTr="00061D3E">
        <w:trPr>
          <w:tblCellSpacing w:w="0" w:type="dxa"/>
        </w:trPr>
        <w:tc>
          <w:tcPr>
            <w:tcW w:w="750"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2.4</w:t>
            </w:r>
          </w:p>
        </w:tc>
        <w:tc>
          <w:tcPr>
            <w:tcW w:w="3819"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in phun có tốc độ in từ 50 tờ (khổ A4)/phút trở xuống hoặc có khổ in từ A3 trở xuống</w:t>
            </w:r>
          </w:p>
        </w:tc>
        <w:tc>
          <w:tcPr>
            <w:tcW w:w="1692"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Không phải có giấy phép nhập khẩu</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r w:rsidR="00061D3E" w:rsidRPr="00061D3E" w:rsidTr="00061D3E">
        <w:trPr>
          <w:tblCellSpacing w:w="0" w:type="dxa"/>
        </w:trPr>
        <w:tc>
          <w:tcPr>
            <w:tcW w:w="750"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lastRenderedPageBreak/>
              <w:t>III</w:t>
            </w:r>
          </w:p>
        </w:tc>
        <w:tc>
          <w:tcPr>
            <w:tcW w:w="3819"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Máy in nhiệt, máy in 3D và loại khác</w:t>
            </w:r>
          </w:p>
        </w:tc>
        <w:tc>
          <w:tcPr>
            <w:tcW w:w="1692" w:type="dxa"/>
            <w:tcBorders>
              <w:top w:val="nil"/>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Không phải có giấy phép nhập khẩu</w:t>
            </w:r>
          </w:p>
        </w:tc>
        <w:tc>
          <w:tcPr>
            <w:tcW w:w="2384" w:type="dxa"/>
            <w:tcBorders>
              <w:top w:val="nil"/>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tc>
      </w:tr>
    </w:tbl>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3. Thiết bị gia công hoàn thiện sản </w:t>
      </w:r>
      <w:r w:rsidRPr="00061D3E">
        <w:rPr>
          <w:rFonts w:asciiTheme="majorHAnsi" w:eastAsia="Times New Roman" w:hAnsiTheme="majorHAnsi" w:cstheme="majorHAnsi"/>
          <w:b/>
          <w:bCs/>
          <w:color w:val="000000"/>
          <w:sz w:val="28"/>
          <w:szCs w:val="28"/>
          <w:shd w:val="clear" w:color="auto" w:fill="FFFFFF"/>
          <w:vertAlign w:val="superscript"/>
          <w:lang w:eastAsia="vi-VN"/>
        </w:rPr>
        <w:t>phẩm</w:t>
      </w:r>
      <w:r w:rsidRPr="00061D3E">
        <w:rPr>
          <w:rFonts w:asciiTheme="majorHAnsi" w:eastAsia="Times New Roman" w:hAnsiTheme="majorHAnsi" w:cstheme="majorHAnsi"/>
          <w:b/>
          <w:bCs/>
          <w:color w:val="000000"/>
          <w:sz w:val="28"/>
          <w:szCs w:val="28"/>
          <w:vertAlign w:val="superscript"/>
          <w:lang w:eastAsia="vi-VN"/>
        </w:rPr>
        <w:t> in</w:t>
      </w:r>
    </w:p>
    <w:tbl>
      <w:tblPr>
        <w:tblW w:w="0" w:type="dxa"/>
        <w:tblCellSpacing w:w="0" w:type="dxa"/>
        <w:shd w:val="clear" w:color="auto" w:fill="FFFFFF"/>
        <w:tblCellMar>
          <w:left w:w="0" w:type="dxa"/>
          <w:right w:w="0" w:type="dxa"/>
        </w:tblCellMar>
        <w:tblLook w:val="04A0"/>
      </w:tblPr>
      <w:tblGrid>
        <w:gridCol w:w="754"/>
        <w:gridCol w:w="4015"/>
        <w:gridCol w:w="1756"/>
        <w:gridCol w:w="2541"/>
      </w:tblGrid>
      <w:tr w:rsidR="00061D3E" w:rsidRPr="00061D3E" w:rsidTr="00061D3E">
        <w:trPr>
          <w:tblCellSpacing w:w="0" w:type="dxa"/>
        </w:trPr>
        <w:tc>
          <w:tcPr>
            <w:tcW w:w="763"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STT</w:t>
            </w:r>
          </w:p>
        </w:tc>
        <w:tc>
          <w:tcPr>
            <w:tcW w:w="408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shd w:val="clear" w:color="auto" w:fill="FFFFFF"/>
                <w:vertAlign w:val="superscript"/>
                <w:lang w:eastAsia="vi-VN"/>
              </w:rPr>
              <w:t>Thiết bị</w:t>
            </w:r>
          </w:p>
        </w:tc>
        <w:tc>
          <w:tcPr>
            <w:tcW w:w="1781"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Thủ tục nhập khẩu</w:t>
            </w:r>
          </w:p>
        </w:tc>
        <w:tc>
          <w:tcPr>
            <w:tcW w:w="2578"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Yêu cầu </w:t>
            </w:r>
            <w:r w:rsidRPr="00061D3E">
              <w:rPr>
                <w:rFonts w:asciiTheme="majorHAnsi" w:eastAsia="Times New Roman" w:hAnsiTheme="majorHAnsi" w:cstheme="majorHAnsi"/>
                <w:b/>
                <w:bCs/>
                <w:color w:val="000000"/>
                <w:sz w:val="28"/>
                <w:szCs w:val="28"/>
                <w:shd w:val="clear" w:color="auto" w:fill="FFFFFF"/>
                <w:vertAlign w:val="superscript"/>
                <w:lang w:eastAsia="vi-VN"/>
              </w:rPr>
              <w:t>đối với</w:t>
            </w:r>
            <w:r w:rsidRPr="00061D3E">
              <w:rPr>
                <w:rFonts w:asciiTheme="majorHAnsi" w:eastAsia="Times New Roman" w:hAnsiTheme="majorHAnsi" w:cstheme="majorHAnsi"/>
                <w:b/>
                <w:bCs/>
                <w:color w:val="000000"/>
                <w:sz w:val="28"/>
                <w:szCs w:val="28"/>
                <w:vertAlign w:val="superscript"/>
                <w:lang w:eastAsia="vi-VN"/>
              </w:rPr>
              <w:t> hàng hóa</w:t>
            </w:r>
          </w:p>
        </w:tc>
      </w:tr>
      <w:tr w:rsidR="00061D3E" w:rsidRPr="00061D3E" w:rsidTr="00061D3E">
        <w:trPr>
          <w:tblCellSpacing w:w="0" w:type="dxa"/>
        </w:trPr>
        <w:tc>
          <w:tcPr>
            <w:tcW w:w="763"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w:t>
            </w:r>
          </w:p>
        </w:tc>
        <w:tc>
          <w:tcPr>
            <w:tcW w:w="408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dao cắt (xén) </w:t>
            </w:r>
            <w:r w:rsidRPr="00061D3E">
              <w:rPr>
                <w:rFonts w:asciiTheme="majorHAnsi" w:eastAsia="Times New Roman" w:hAnsiTheme="majorHAnsi" w:cstheme="majorHAnsi"/>
                <w:color w:val="000000"/>
                <w:sz w:val="28"/>
                <w:szCs w:val="28"/>
                <w:shd w:val="clear" w:color="auto" w:fill="FFFFFF"/>
                <w:vertAlign w:val="superscript"/>
                <w:lang w:eastAsia="vi-VN"/>
              </w:rPr>
              <w:t>giấy</w:t>
            </w:r>
            <w:r w:rsidRPr="00061D3E">
              <w:rPr>
                <w:rFonts w:asciiTheme="majorHAnsi" w:eastAsia="Times New Roman" w:hAnsiTheme="majorHAnsi" w:cstheme="majorHAnsi"/>
                <w:color w:val="000000"/>
                <w:sz w:val="28"/>
                <w:szCs w:val="28"/>
                <w:vertAlign w:val="superscript"/>
                <w:lang w:eastAsia="vi-VN"/>
              </w:rPr>
              <w:t>, máy gấp sách (gấp giấy), máy đóng sách (đóng thép hoặc khâu chỉ), máy vào bìa, máy kỵ mã liên hợp, dây chuyền liên hợp hoàn thiện sản phẩm in (từ hai công đoạn trở lên)</w:t>
            </w:r>
          </w:p>
        </w:tc>
        <w:tc>
          <w:tcPr>
            <w:tcW w:w="1781"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257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Được sản xuất không quá 25 năm tính từ năm sản xuất đến năm nhập khẩu</w:t>
            </w:r>
          </w:p>
        </w:tc>
      </w:tr>
      <w:tr w:rsidR="00061D3E" w:rsidRPr="00061D3E" w:rsidTr="00061D3E">
        <w:trPr>
          <w:tblCellSpacing w:w="0" w:type="dxa"/>
        </w:trPr>
        <w:tc>
          <w:tcPr>
            <w:tcW w:w="763"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w:t>
            </w:r>
          </w:p>
        </w:tc>
        <w:tc>
          <w:tcPr>
            <w:tcW w:w="4080"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Loại khác</w:t>
            </w:r>
          </w:p>
        </w:tc>
        <w:tc>
          <w:tcPr>
            <w:tcW w:w="1781"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Không phải có giấy phép nhập khẩu</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bl>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4. Thiết bị photocopy</w:t>
      </w:r>
    </w:p>
    <w:tbl>
      <w:tblPr>
        <w:tblW w:w="0" w:type="dxa"/>
        <w:tblCellSpacing w:w="0" w:type="dxa"/>
        <w:shd w:val="clear" w:color="auto" w:fill="FFFFFF"/>
        <w:tblCellMar>
          <w:left w:w="0" w:type="dxa"/>
          <w:right w:w="0" w:type="dxa"/>
        </w:tblCellMar>
        <w:tblLook w:val="04A0"/>
      </w:tblPr>
      <w:tblGrid>
        <w:gridCol w:w="751"/>
        <w:gridCol w:w="4023"/>
        <w:gridCol w:w="1764"/>
        <w:gridCol w:w="2528"/>
      </w:tblGrid>
      <w:tr w:rsidR="00061D3E" w:rsidRPr="00061D3E" w:rsidTr="00061D3E">
        <w:trPr>
          <w:tblCellSpacing w:w="0" w:type="dxa"/>
        </w:trPr>
        <w:tc>
          <w:tcPr>
            <w:tcW w:w="758"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STT</w:t>
            </w:r>
          </w:p>
        </w:tc>
        <w:tc>
          <w:tcPr>
            <w:tcW w:w="408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Thiết bị</w:t>
            </w:r>
          </w:p>
        </w:tc>
        <w:tc>
          <w:tcPr>
            <w:tcW w:w="178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Thủ tục nhập khẩu</w:t>
            </w:r>
          </w:p>
        </w:tc>
        <w:tc>
          <w:tcPr>
            <w:tcW w:w="2563"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Yêu cầu đối với hàng hóa</w:t>
            </w:r>
          </w:p>
        </w:tc>
      </w:tr>
      <w:tr w:rsidR="00061D3E" w:rsidRPr="00061D3E" w:rsidTr="00061D3E">
        <w:trPr>
          <w:tblCellSpacing w:w="0" w:type="dxa"/>
        </w:trPr>
        <w:tc>
          <w:tcPr>
            <w:tcW w:w="758"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1</w:t>
            </w:r>
          </w:p>
        </w:tc>
        <w:tc>
          <w:tcPr>
            <w:tcW w:w="408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photocopy màu (đa màu) chỉ có tính năng photocopy hoặc kết hợp tính năng khác</w:t>
            </w:r>
          </w:p>
        </w:tc>
        <w:tc>
          <w:tcPr>
            <w:tcW w:w="1786"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c>
          <w:tcPr>
            <w:tcW w:w="2563"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Chưa qua sử dụng (mới 100%) và được sản xuất không quá 03 năm tính từ năm sản xuất đến năm nhập khẩu</w:t>
            </w:r>
          </w:p>
        </w:tc>
      </w:tr>
      <w:tr w:rsidR="00061D3E" w:rsidRPr="00061D3E" w:rsidTr="00061D3E">
        <w:trPr>
          <w:tblCellSpacing w:w="0" w:type="dxa"/>
        </w:trPr>
        <w:tc>
          <w:tcPr>
            <w:tcW w:w="758"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2</w:t>
            </w:r>
          </w:p>
        </w:tc>
        <w:tc>
          <w:tcPr>
            <w:tcW w:w="4080"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Máy photocopy đơn màu chỉ có tính năng photocopy hoặc kết hợp tính năng khác</w:t>
            </w:r>
          </w:p>
        </w:tc>
        <w:tc>
          <w:tcPr>
            <w:tcW w:w="1786"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Không phải có giấy phép nhập khẩu</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61D3E" w:rsidRPr="00061D3E" w:rsidRDefault="00061D3E" w:rsidP="00061D3E">
            <w:pPr>
              <w:spacing w:after="0"/>
              <w:rPr>
                <w:rFonts w:asciiTheme="majorHAnsi" w:eastAsia="Times New Roman" w:hAnsiTheme="majorHAnsi" w:cstheme="majorHAnsi"/>
                <w:color w:val="000000"/>
                <w:sz w:val="28"/>
                <w:szCs w:val="28"/>
                <w:vertAlign w:val="superscript"/>
                <w:lang w:eastAsia="vi-VN"/>
              </w:rPr>
            </w:pPr>
          </w:p>
        </w:tc>
      </w:tr>
    </w:tbl>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w:t>
      </w:r>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24" w:name="chuong_phuluc_2"/>
      <w:r w:rsidRPr="00061D3E">
        <w:rPr>
          <w:rFonts w:asciiTheme="majorHAnsi" w:eastAsia="Times New Roman" w:hAnsiTheme="majorHAnsi" w:cstheme="majorHAnsi"/>
          <w:b/>
          <w:bCs/>
          <w:color w:val="000000"/>
          <w:sz w:val="28"/>
          <w:szCs w:val="28"/>
          <w:vertAlign w:val="superscript"/>
          <w:lang w:eastAsia="vi-VN"/>
        </w:rPr>
        <w:t>PHỤ LỤC II</w:t>
      </w:r>
      <w:bookmarkEnd w:id="24"/>
    </w:p>
    <w:p w:rsidR="00061D3E" w:rsidRPr="00061D3E" w:rsidRDefault="00061D3E" w:rsidP="00061D3E">
      <w:pPr>
        <w:shd w:val="clear" w:color="auto" w:fill="FFFFFF"/>
        <w:spacing w:before="120" w:after="0"/>
        <w:jc w:val="center"/>
        <w:rPr>
          <w:rFonts w:asciiTheme="majorHAnsi" w:eastAsia="Times New Roman" w:hAnsiTheme="majorHAnsi" w:cstheme="majorHAnsi"/>
          <w:color w:val="000000"/>
          <w:sz w:val="28"/>
          <w:szCs w:val="28"/>
          <w:vertAlign w:val="superscript"/>
          <w:lang w:eastAsia="vi-VN"/>
        </w:rPr>
      </w:pPr>
      <w:bookmarkStart w:id="25" w:name="chuong_phuluc_2_name"/>
      <w:r w:rsidRPr="00061D3E">
        <w:rPr>
          <w:rFonts w:asciiTheme="majorHAnsi" w:eastAsia="Times New Roman" w:hAnsiTheme="majorHAnsi" w:cstheme="majorHAnsi"/>
          <w:color w:val="000000"/>
          <w:sz w:val="28"/>
          <w:szCs w:val="28"/>
          <w:vertAlign w:val="superscript"/>
          <w:lang w:eastAsia="vi-VN"/>
        </w:rPr>
        <w:t>DANH MỤC, THỦ TỤC NHẬP KHẨU ĐỐI VỚI HÀNG HÓA NHẬP KHẨU TRONG LĨNH VỰC PHÁT HÀNH XUẤT BẢN PHẨM</w:t>
      </w:r>
      <w:bookmarkEnd w:id="25"/>
      <w:r w:rsidRPr="00061D3E">
        <w:rPr>
          <w:rFonts w:asciiTheme="majorHAnsi" w:eastAsia="Times New Roman" w:hAnsiTheme="majorHAnsi" w:cstheme="majorHAnsi"/>
          <w:color w:val="000000"/>
          <w:sz w:val="28"/>
          <w:szCs w:val="28"/>
          <w:vertAlign w:val="superscript"/>
          <w:lang w:eastAsia="vi-VN"/>
        </w:rPr>
        <w:br/>
      </w:r>
      <w:r w:rsidRPr="00061D3E">
        <w:rPr>
          <w:rFonts w:asciiTheme="majorHAnsi" w:eastAsia="Times New Roman" w:hAnsiTheme="majorHAnsi" w:cstheme="majorHAnsi"/>
          <w:i/>
          <w:iCs/>
          <w:color w:val="000000"/>
          <w:sz w:val="28"/>
          <w:szCs w:val="28"/>
          <w:vertAlign w:val="superscript"/>
          <w:lang w:eastAsia="vi-VN"/>
        </w:rPr>
        <w:t>(Ban hành kèm theo Thông tư </w:t>
      </w:r>
      <w:r w:rsidRPr="00061D3E">
        <w:rPr>
          <w:rFonts w:asciiTheme="majorHAnsi" w:eastAsia="Times New Roman" w:hAnsiTheme="majorHAnsi" w:cstheme="majorHAnsi"/>
          <w:i/>
          <w:iCs/>
          <w:color w:val="000000"/>
          <w:sz w:val="28"/>
          <w:szCs w:val="28"/>
          <w:shd w:val="clear" w:color="auto" w:fill="FFFFFF"/>
          <w:vertAlign w:val="superscript"/>
          <w:lang w:eastAsia="vi-VN"/>
        </w:rPr>
        <w:t>số</w:t>
      </w:r>
      <w:r w:rsidRPr="00061D3E">
        <w:rPr>
          <w:rFonts w:asciiTheme="majorHAnsi" w:eastAsia="Times New Roman" w:hAnsiTheme="majorHAnsi" w:cstheme="majorHAnsi"/>
          <w:i/>
          <w:iCs/>
          <w:color w:val="000000"/>
          <w:sz w:val="28"/>
          <w:szCs w:val="28"/>
          <w:vertAlign w:val="superscript"/>
          <w:lang w:eastAsia="vi-VN"/>
        </w:rPr>
        <w:t> 16/2015/TT-BTTTT ngày 17 </w:t>
      </w:r>
      <w:r w:rsidRPr="00061D3E">
        <w:rPr>
          <w:rFonts w:asciiTheme="majorHAnsi" w:eastAsia="Times New Roman" w:hAnsiTheme="majorHAnsi" w:cstheme="majorHAnsi"/>
          <w:i/>
          <w:iCs/>
          <w:color w:val="000000"/>
          <w:sz w:val="28"/>
          <w:szCs w:val="28"/>
          <w:shd w:val="clear" w:color="auto" w:fill="FFFFFF"/>
          <w:vertAlign w:val="superscript"/>
          <w:lang w:eastAsia="vi-VN"/>
        </w:rPr>
        <w:t>tháng</w:t>
      </w:r>
      <w:r w:rsidRPr="00061D3E">
        <w:rPr>
          <w:rFonts w:asciiTheme="majorHAnsi" w:eastAsia="Times New Roman" w:hAnsiTheme="majorHAnsi" w:cstheme="majorHAnsi"/>
          <w:i/>
          <w:iCs/>
          <w:color w:val="000000"/>
          <w:sz w:val="28"/>
          <w:szCs w:val="28"/>
          <w:vertAlign w:val="superscript"/>
          <w:lang w:eastAsia="vi-VN"/>
        </w:rPr>
        <w:t> 6 năm 2015 của Bộ trưởng Bộ Thông tin và Truyền thông)</w:t>
      </w:r>
    </w:p>
    <w:tbl>
      <w:tblPr>
        <w:tblW w:w="0" w:type="dxa"/>
        <w:tblCellSpacing w:w="0" w:type="dxa"/>
        <w:shd w:val="clear" w:color="auto" w:fill="FFFFFF"/>
        <w:tblCellMar>
          <w:left w:w="0" w:type="dxa"/>
          <w:right w:w="0" w:type="dxa"/>
        </w:tblCellMar>
        <w:tblLook w:val="04A0"/>
      </w:tblPr>
      <w:tblGrid>
        <w:gridCol w:w="2490"/>
        <w:gridCol w:w="3295"/>
        <w:gridCol w:w="3281"/>
      </w:tblGrid>
      <w:tr w:rsidR="00061D3E" w:rsidRPr="00061D3E" w:rsidTr="00061D3E">
        <w:trPr>
          <w:tblCellSpacing w:w="0" w:type="dxa"/>
        </w:trPr>
        <w:tc>
          <w:tcPr>
            <w:tcW w:w="253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Xuất bản phẩm(*) </w:t>
            </w:r>
            <w:r w:rsidRPr="00061D3E">
              <w:rPr>
                <w:rFonts w:asciiTheme="majorHAnsi" w:eastAsia="Times New Roman" w:hAnsiTheme="majorHAnsi" w:cstheme="majorHAnsi"/>
                <w:b/>
                <w:bCs/>
                <w:color w:val="000000"/>
                <w:sz w:val="28"/>
                <w:szCs w:val="28"/>
                <w:vertAlign w:val="superscript"/>
                <w:lang w:eastAsia="vi-VN"/>
              </w:rPr>
              <w:br/>
              <w:t>(theo mã số HS)</w:t>
            </w:r>
          </w:p>
        </w:tc>
        <w:tc>
          <w:tcPr>
            <w:tcW w:w="3365"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Thủ tục nhập khẩu đối với xuất bản phẩm nhập khẩu để kinh doanh</w:t>
            </w:r>
          </w:p>
        </w:tc>
        <w:tc>
          <w:tcPr>
            <w:tcW w:w="3350"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b/>
                <w:bCs/>
                <w:color w:val="000000"/>
                <w:sz w:val="28"/>
                <w:szCs w:val="28"/>
                <w:vertAlign w:val="superscript"/>
                <w:lang w:eastAsia="vi-VN"/>
              </w:rPr>
              <w:t>Thủ tục nhập khẩu đối với xuất bản phẩm nhập khẩu không kinh doanh</w:t>
            </w:r>
          </w:p>
        </w:tc>
      </w:tr>
      <w:tr w:rsidR="00061D3E" w:rsidRPr="00061D3E" w:rsidTr="00061D3E">
        <w:trPr>
          <w:tblCellSpacing w:w="0" w:type="dxa"/>
        </w:trPr>
        <w:tc>
          <w:tcPr>
            <w:tcW w:w="2530"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Thuộc các nhóm:</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- 49.01;</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lastRenderedPageBreak/>
              <w:t>- 4903.00.00;</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- 4904.00.00;</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- 49.05;</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- 4910.00.00.</w:t>
            </w:r>
          </w:p>
        </w:tc>
        <w:tc>
          <w:tcPr>
            <w:tcW w:w="3365" w:type="dxa"/>
            <w:tcBorders>
              <w:top w:val="single" w:sz="8" w:space="0" w:color="auto"/>
              <w:left w:val="single" w:sz="8" w:space="0" w:color="auto"/>
              <w:bottom w:val="nil"/>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lastRenderedPageBreak/>
              <w:t>Văn bản xác nhận đăng ký nhập khẩu</w:t>
            </w:r>
          </w:p>
        </w:tc>
        <w:tc>
          <w:tcPr>
            <w:tcW w:w="3350" w:type="dxa"/>
            <w:tcBorders>
              <w:top w:val="single" w:sz="8" w:space="0" w:color="auto"/>
              <w:left w:val="single" w:sz="8" w:space="0" w:color="auto"/>
              <w:bottom w:val="nil"/>
              <w:right w:val="single" w:sz="8" w:space="0" w:color="auto"/>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r>
      <w:tr w:rsidR="00061D3E" w:rsidRPr="00061D3E" w:rsidTr="00061D3E">
        <w:trPr>
          <w:tblCellSpacing w:w="0" w:type="dxa"/>
        </w:trPr>
        <w:tc>
          <w:tcPr>
            <w:tcW w:w="2530"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lastRenderedPageBreak/>
              <w:t>Thuộc nhóm: 49.11</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(trừ các mã:</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- 4911.91;</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- 4911.91.21;</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- 4911.91.31;</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- 4911.99.10;</w:t>
            </w:r>
          </w:p>
          <w:p w:rsidR="00061D3E" w:rsidRPr="00061D3E" w:rsidRDefault="00061D3E" w:rsidP="00061D3E">
            <w:pPr>
              <w:spacing w:before="120" w:after="0"/>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- 4911.99.20)</w:t>
            </w:r>
          </w:p>
        </w:tc>
        <w:tc>
          <w:tcPr>
            <w:tcW w:w="3365" w:type="dxa"/>
            <w:tcBorders>
              <w:top w:val="single" w:sz="8" w:space="0" w:color="auto"/>
              <w:left w:val="single" w:sz="8" w:space="0" w:color="auto"/>
              <w:bottom w:val="single" w:sz="8" w:space="0" w:color="auto"/>
              <w:right w:val="nil"/>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Văn bản xác nhận đăng ký nhập khẩu</w:t>
            </w:r>
          </w:p>
        </w:tc>
        <w:tc>
          <w:tcPr>
            <w:tcW w:w="3350" w:type="dxa"/>
            <w:tcBorders>
              <w:top w:val="single" w:sz="8" w:space="0" w:color="auto"/>
              <w:left w:val="single" w:sz="8" w:space="0" w:color="auto"/>
              <w:bottom w:val="single" w:sz="8" w:space="0" w:color="auto"/>
              <w:right w:val="single" w:sz="8" w:space="0" w:color="auto"/>
            </w:tcBorders>
            <w:shd w:val="clear" w:color="auto" w:fill="FFFFFF"/>
            <w:hideMark/>
          </w:tcPr>
          <w:p w:rsidR="00061D3E" w:rsidRPr="00061D3E" w:rsidRDefault="00061D3E" w:rsidP="00061D3E">
            <w:pPr>
              <w:spacing w:before="120" w:after="0"/>
              <w:jc w:val="center"/>
              <w:rPr>
                <w:rFonts w:asciiTheme="majorHAnsi" w:eastAsia="Times New Roman" w:hAnsiTheme="majorHAnsi" w:cstheme="majorHAnsi"/>
                <w:color w:val="000000"/>
                <w:sz w:val="28"/>
                <w:szCs w:val="28"/>
                <w:vertAlign w:val="superscript"/>
                <w:lang w:eastAsia="vi-VN"/>
              </w:rPr>
            </w:pPr>
            <w:r w:rsidRPr="00061D3E">
              <w:rPr>
                <w:rFonts w:asciiTheme="majorHAnsi" w:eastAsia="Times New Roman" w:hAnsiTheme="majorHAnsi" w:cstheme="majorHAnsi"/>
                <w:color w:val="000000"/>
                <w:sz w:val="28"/>
                <w:szCs w:val="28"/>
                <w:vertAlign w:val="superscript"/>
                <w:lang w:eastAsia="vi-VN"/>
              </w:rPr>
              <w:t>Giấy phép nhập khẩu</w:t>
            </w:r>
          </w:p>
        </w:tc>
      </w:tr>
    </w:tbl>
    <w:p w:rsidR="00061D3E" w:rsidRPr="00061D3E" w:rsidRDefault="00061D3E" w:rsidP="00061D3E">
      <w:pPr>
        <w:shd w:val="clear" w:color="auto" w:fill="FFFFFF"/>
        <w:spacing w:before="120" w:after="0"/>
        <w:rPr>
          <w:rFonts w:asciiTheme="majorHAnsi" w:eastAsia="Times New Roman" w:hAnsiTheme="majorHAnsi" w:cstheme="majorHAnsi"/>
          <w:color w:val="000000"/>
          <w:sz w:val="28"/>
          <w:szCs w:val="28"/>
          <w:vertAlign w:val="superscript"/>
          <w:lang w:val="en-US" w:eastAsia="vi-VN"/>
        </w:rPr>
      </w:pPr>
    </w:p>
    <w:p w:rsidR="00F65D8B" w:rsidRPr="00061D3E" w:rsidRDefault="00F65D8B" w:rsidP="00061D3E">
      <w:pPr>
        <w:rPr>
          <w:rFonts w:asciiTheme="majorHAnsi" w:hAnsiTheme="majorHAnsi" w:cstheme="majorHAnsi"/>
          <w:sz w:val="28"/>
          <w:szCs w:val="28"/>
          <w:vertAlign w:val="superscript"/>
        </w:rPr>
      </w:pPr>
    </w:p>
    <w:sectPr w:rsidR="00F65D8B" w:rsidRPr="00061D3E" w:rsidSect="00F65D8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73" w:rsidRDefault="00425773" w:rsidP="00061D3E">
      <w:pPr>
        <w:spacing w:after="0" w:line="240" w:lineRule="auto"/>
      </w:pPr>
      <w:r>
        <w:separator/>
      </w:r>
    </w:p>
  </w:endnote>
  <w:endnote w:type="continuationSeparator" w:id="1">
    <w:p w:rsidR="00425773" w:rsidRDefault="00425773" w:rsidP="00061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3E" w:rsidRPr="00A67571" w:rsidRDefault="00061D3E" w:rsidP="00061D3E">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061D3E" w:rsidRDefault="00061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73" w:rsidRDefault="00425773" w:rsidP="00061D3E">
      <w:pPr>
        <w:spacing w:after="0" w:line="240" w:lineRule="auto"/>
      </w:pPr>
      <w:r>
        <w:separator/>
      </w:r>
    </w:p>
  </w:footnote>
  <w:footnote w:type="continuationSeparator" w:id="1">
    <w:p w:rsidR="00425773" w:rsidRDefault="00425773" w:rsidP="00061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61D3E" w:rsidRPr="00A67571" w:rsidTr="00E54F16">
      <w:trPr>
        <w:trHeight w:val="1208"/>
      </w:trPr>
      <w:tc>
        <w:tcPr>
          <w:tcW w:w="2411" w:type="dxa"/>
          <w:tcBorders>
            <w:top w:val="nil"/>
            <w:left w:val="nil"/>
            <w:bottom w:val="single" w:sz="4" w:space="0" w:color="auto"/>
            <w:right w:val="nil"/>
          </w:tcBorders>
          <w:vAlign w:val="center"/>
          <w:hideMark/>
        </w:tcPr>
        <w:p w:rsidR="00061D3E" w:rsidRPr="00A67571" w:rsidRDefault="00061D3E" w:rsidP="00E54F1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61D3E" w:rsidRPr="00A67571" w:rsidRDefault="00061D3E" w:rsidP="00E54F16">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061D3E" w:rsidRPr="00A67571" w:rsidRDefault="00061D3E" w:rsidP="00E54F16">
          <w:pPr>
            <w:rPr>
              <w:rFonts w:ascii="Times New Roman" w:hAnsi="Times New Roman"/>
              <w:sz w:val="20"/>
            </w:rPr>
          </w:pPr>
          <w:r w:rsidRPr="00A67571">
            <w:rPr>
              <w:rFonts w:ascii="Times New Roman" w:hAnsi="Times New Roman"/>
              <w:sz w:val="20"/>
            </w:rPr>
            <w:t>No 2305, VNT Tower, 19  Nguyen Trai Street, Thanh Xuan District, Hanoi City, Viet Nam</w:t>
          </w:r>
        </w:p>
        <w:p w:rsidR="00061D3E" w:rsidRPr="00A67571" w:rsidRDefault="00061D3E" w:rsidP="00E54F1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061D3E" w:rsidRPr="00A67571" w:rsidRDefault="00061D3E" w:rsidP="00E54F16">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61D3E" w:rsidRPr="00A67571" w:rsidRDefault="00061D3E" w:rsidP="00061D3E">
    <w:pPr>
      <w:pStyle w:val="Header"/>
      <w:rPr>
        <w:rFonts w:ascii="Times New Roman" w:hAnsi="Times New Roman"/>
      </w:rPr>
    </w:pPr>
  </w:p>
  <w:p w:rsidR="00061D3E" w:rsidRDefault="00061D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1D3E"/>
    <w:rsid w:val="00061D3E"/>
    <w:rsid w:val="00425773"/>
    <w:rsid w:val="00F65D8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8B"/>
  </w:style>
  <w:style w:type="paragraph" w:styleId="Heading6">
    <w:name w:val="heading 6"/>
    <w:basedOn w:val="Normal"/>
    <w:next w:val="Normal"/>
    <w:link w:val="Heading6Char"/>
    <w:semiHidden/>
    <w:unhideWhenUsed/>
    <w:qFormat/>
    <w:rsid w:val="00061D3E"/>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D3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61D3E"/>
  </w:style>
  <w:style w:type="paragraph" w:styleId="Header">
    <w:name w:val="header"/>
    <w:basedOn w:val="Normal"/>
    <w:link w:val="HeaderChar"/>
    <w:unhideWhenUsed/>
    <w:rsid w:val="00061D3E"/>
    <w:pPr>
      <w:tabs>
        <w:tab w:val="center" w:pos="4513"/>
        <w:tab w:val="right" w:pos="9026"/>
      </w:tabs>
      <w:spacing w:after="0" w:line="240" w:lineRule="auto"/>
    </w:pPr>
  </w:style>
  <w:style w:type="character" w:customStyle="1" w:styleId="HeaderChar">
    <w:name w:val="Header Char"/>
    <w:basedOn w:val="DefaultParagraphFont"/>
    <w:link w:val="Header"/>
    <w:rsid w:val="00061D3E"/>
  </w:style>
  <w:style w:type="paragraph" w:styleId="Footer">
    <w:name w:val="footer"/>
    <w:basedOn w:val="Normal"/>
    <w:link w:val="FooterChar"/>
    <w:uiPriority w:val="99"/>
    <w:unhideWhenUsed/>
    <w:rsid w:val="0006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D3E"/>
  </w:style>
  <w:style w:type="character" w:customStyle="1" w:styleId="Heading6Char">
    <w:name w:val="Heading 6 Char"/>
    <w:basedOn w:val="DefaultParagraphFont"/>
    <w:link w:val="Heading6"/>
    <w:semiHidden/>
    <w:rsid w:val="00061D3E"/>
    <w:rPr>
      <w:rFonts w:ascii="Calibri" w:eastAsia="Times New Roman" w:hAnsi="Calibri" w:cs="Times New Roman"/>
      <w:b/>
      <w:bCs/>
      <w:lang w:val="en-US"/>
    </w:rPr>
  </w:style>
  <w:style w:type="character" w:styleId="Hyperlink">
    <w:name w:val="Hyperlink"/>
    <w:uiPriority w:val="99"/>
    <w:unhideWhenUsed/>
    <w:rsid w:val="00061D3E"/>
    <w:rPr>
      <w:color w:val="0000FF"/>
      <w:u w:val="single"/>
    </w:rPr>
  </w:style>
  <w:style w:type="paragraph" w:styleId="BalloonText">
    <w:name w:val="Balloon Text"/>
    <w:basedOn w:val="Normal"/>
    <w:link w:val="BalloonTextChar"/>
    <w:uiPriority w:val="99"/>
    <w:semiHidden/>
    <w:unhideWhenUsed/>
    <w:rsid w:val="0006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144340">
      <w:bodyDiv w:val="1"/>
      <w:marLeft w:val="0"/>
      <w:marRight w:val="0"/>
      <w:marTop w:val="0"/>
      <w:marBottom w:val="0"/>
      <w:divBdr>
        <w:top w:val="none" w:sz="0" w:space="0" w:color="auto"/>
        <w:left w:val="none" w:sz="0" w:space="0" w:color="auto"/>
        <w:bottom w:val="none" w:sz="0" w:space="0" w:color="auto"/>
        <w:right w:val="none" w:sz="0" w:space="0" w:color="auto"/>
      </w:divBdr>
    </w:div>
    <w:div w:id="929851439">
      <w:bodyDiv w:val="1"/>
      <w:marLeft w:val="0"/>
      <w:marRight w:val="0"/>
      <w:marTop w:val="0"/>
      <w:marBottom w:val="0"/>
      <w:divBdr>
        <w:top w:val="none" w:sz="0" w:space="0" w:color="auto"/>
        <w:left w:val="none" w:sz="0" w:space="0" w:color="auto"/>
        <w:bottom w:val="none" w:sz="0" w:space="0" w:color="auto"/>
        <w:right w:val="none" w:sz="0" w:space="0" w:color="auto"/>
      </w:divBdr>
    </w:div>
    <w:div w:id="2078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2381</Words>
  <Characters>13578</Characters>
  <Application>Microsoft Office Word</Application>
  <DocSecurity>0</DocSecurity>
  <Lines>113</Lines>
  <Paragraphs>31</Paragraphs>
  <ScaleCrop>false</ScaleCrop>
  <Company>Grizli777</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2015-06-25T07:25:00Z</dcterms:created>
  <dcterms:modified xsi:type="dcterms:W3CDTF">2015-06-25T07:44:00Z</dcterms:modified>
</cp:coreProperties>
</file>