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E6" w:rsidRDefault="00CC55E6">
      <w:pPr>
        <w:rPr>
          <w:lang w:val="en-US"/>
        </w:rPr>
      </w:pPr>
    </w:p>
    <w:p w:rsidR="00CC55E6" w:rsidRDefault="00CC55E6">
      <w:pPr>
        <w:rPr>
          <w:lang w:val="en-US"/>
        </w:rPr>
      </w:pPr>
    </w:p>
    <w:p w:rsidR="00CC55E6" w:rsidRPr="00CC55E6" w:rsidRDefault="00CC55E6">
      <w:pPr>
        <w:rPr>
          <w:lang w:val="en-US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8"/>
        <w:gridCol w:w="4604"/>
      </w:tblGrid>
      <w:tr w:rsidR="00CC55E6" w:rsidRPr="00CC55E6" w:rsidTr="00CC55E6">
        <w:trPr>
          <w:tblCellSpacing w:w="0" w:type="dxa"/>
        </w:trPr>
        <w:tc>
          <w:tcPr>
            <w:tcW w:w="4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24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s-ES" w:eastAsia="vi-VN"/>
              </w:rPr>
              <w:t>BỘ Y TẾ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s-ES" w:eastAsia="vi-VN"/>
              </w:rPr>
              <w:t>CỘNG HÒA XÃ HỘI CHỦ NGHĨA VIỆT NAM</w:t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s-ES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t>Độc lập – Tự do – Hạnh phúc</w:t>
            </w:r>
          </w:p>
        </w:tc>
      </w:tr>
      <w:tr w:rsidR="00CC55E6" w:rsidRPr="00CC55E6" w:rsidTr="00CC55E6">
        <w:trPr>
          <w:tblCellSpacing w:w="0" w:type="dxa"/>
        </w:trPr>
        <w:tc>
          <w:tcPr>
            <w:tcW w:w="4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24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s-ES" w:eastAsia="vi-VN"/>
              </w:rPr>
              <w:t>Số: 27/2006/QĐ-BYT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pt-BR" w:eastAsia="vi-VN"/>
              </w:rPr>
              <w:t>Hà Nội, ngày 21 tháng 9 năm 2006</w:t>
            </w:r>
          </w:p>
        </w:tc>
      </w:tr>
    </w:tbl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loai_1"/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QUYẾT ĐỊNH</w:t>
      </w:r>
      <w:bookmarkEnd w:id="0"/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1" w:name="loai_1_name"/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VỀ VIỆC BỔ SUNG 04 BỆNH NGHỀ NGHIỆP VÀO DANH MỤC CÁC BỆNH NGHỀ NGHIỆP ĐƯỢC BẢO HIỂM</w:t>
      </w:r>
      <w:bookmarkEnd w:id="1"/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vi-VN"/>
        </w:rPr>
        <w:t>BỘ TRƯỞNG BỘ Y TẾ</w:t>
      </w:r>
    </w:p>
    <w:p w:rsidR="00CC55E6" w:rsidRPr="00CC55E6" w:rsidRDefault="00CC55E6" w:rsidP="00CC55E6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t>Căn cứ Điều 106 của Bộ Luật Lao động ngày 23/6/1994 về việc ban hành Danh mục các bệnh nghề nghiệp;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Căn cứ Nghị định số 49/2003/NĐ-CP ngày 15/5/2003 của Chính phủ quy định chức năng, nhiệm vụ, quyền hạn và cơ cấu tổ chức của Bộ Y tế;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Sau khi có ý kiến thỏa thuận của Bộ Lao động - Thương binh và Xã hội tại Công văn số 2550/LĐTBXH-ATLĐ ngày 26/7/2006;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Sau khi có ý kiến tham gia của Tổng Liên đoàn Lao động Việt Nam tại Công văn số 1188/TLĐ ngày 20/7/2006;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Theo đề nghị của Cục trưởng Cục Y tế dự phòng Việt Nam,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vi-VN"/>
        </w:rPr>
        <w:t>QUYẾT ĐỊNH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vi-VN"/>
        </w:rPr>
        <w:lastRenderedPageBreak/>
        <w:t>Điều 1.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 Bổ sung 04 bệnh nghề nghiệp (kèm theo tiêu chuẩn chẩn đoán và tiêu chuẩn giám định) vào Danh mục các bệnh nghề nghiệp được bảo hiểm:</w:t>
      </w:r>
    </w:p>
    <w:p w:rsidR="00CC55E6" w:rsidRPr="00CC55E6" w:rsidRDefault="00CC55E6" w:rsidP="00CC55E6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1. Bệnh hen phế quản nghề nghiệp (Tiêu chuẩn chẩn đoán và tiêu chuẩn giám định quy định tại Phụ lục 1).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2. Bệnh nhiễm độc cacbonmonoxit nghề nghiệp (Tiêu chuẩn chẩn đoán và tiêu chuẩn giám định quy định tại Phụ lục 2).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3. Bệnh nốt dầu nghề nghiệp (Tiêu chuẩn chẩn đoán và tiêu chuẩn giám định quy định tại Phụ lục 3).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4. Bệnh viêm loét da, viêm móng và xung quanh móng nghề nghiệp (Tiêu chuẩn chẩn đoán và tiêu chuẩn giám định quy định tại Phụ lục 4).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Điều 2.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 Người lao động đã được giám định là mắc các bệnh quy định tại Điều 1 của Quyết định này được hưởng các chế độ quy định tại Bộ luật Lao động và các văn bản hướng dẫn thi hành Bộ luật Lao động.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Điều 3.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 Quyết định này có hiệu lực sau 15 ngày, kể từ ngày đăng công báo.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Điều 4.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 Các ông Chánh Văn phòng, Cục trưởng Cục Y tế dự phòng Việt Nam và các Vụ, Cục thuộc cơ quan Bộ Y tế, Thủ trưởng các đơn vị trực thuộc Bộ Y tế, Giám đốc Sở Y tế các tỉnh, thành phố trực thuộc Trung ương, Thủ trưởng y tế ngành và Thủ trưởng các đơn vị có liên quan chịu trách nhiệm thực hiện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8"/>
        <w:gridCol w:w="4654"/>
      </w:tblGrid>
      <w:tr w:rsidR="00CC55E6" w:rsidRPr="00CC55E6" w:rsidTr="00CC55E6">
        <w:trPr>
          <w:tblCellSpacing w:w="0" w:type="dxa"/>
        </w:trPr>
        <w:tc>
          <w:tcPr>
            <w:tcW w:w="4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pt-BR" w:eastAsia="vi-VN"/>
              </w:rPr>
              <w:t> </w:t>
            </w:r>
          </w:p>
        </w:tc>
        <w:tc>
          <w:tcPr>
            <w:tcW w:w="4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t>KT. BỘ TRƯỞNG</w:t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  <w:t>THỨ TRƯỞNG</w:t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lastRenderedPageBreak/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  <w:t>Trịnh Quân Huấn</w:t>
            </w:r>
          </w:p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pt-BR" w:eastAsia="vi-VN"/>
              </w:rPr>
              <w:t> </w:t>
            </w:r>
          </w:p>
        </w:tc>
      </w:tr>
    </w:tbl>
    <w:p w:rsidR="00846829" w:rsidRPr="00CC55E6" w:rsidRDefault="00846829" w:rsidP="00CC55E6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sectPr w:rsidR="00846829" w:rsidRPr="00CC55E6" w:rsidSect="008468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61" w:rsidRDefault="00DC7661" w:rsidP="00CC55E6">
      <w:pPr>
        <w:spacing w:after="0" w:line="240" w:lineRule="auto"/>
      </w:pPr>
      <w:r>
        <w:separator/>
      </w:r>
    </w:p>
  </w:endnote>
  <w:endnote w:type="continuationSeparator" w:id="1">
    <w:p w:rsidR="00DC7661" w:rsidRDefault="00DC7661" w:rsidP="00CC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6" w:rsidRPr="00A67571" w:rsidRDefault="00CC55E6" w:rsidP="00CC55E6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1900.6190 – 1900.6568</w:t>
    </w:r>
  </w:p>
  <w:p w:rsidR="00CC55E6" w:rsidRPr="00A67571" w:rsidRDefault="00CC55E6" w:rsidP="00CC55E6">
    <w:pPr>
      <w:pStyle w:val="Footer"/>
      <w:rPr>
        <w:rFonts w:ascii="Times New Roman" w:hAnsi="Times New Roman"/>
      </w:rPr>
    </w:pPr>
  </w:p>
  <w:p w:rsidR="00CC55E6" w:rsidRDefault="00CC5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61" w:rsidRDefault="00DC7661" w:rsidP="00CC55E6">
      <w:pPr>
        <w:spacing w:after="0" w:line="240" w:lineRule="auto"/>
      </w:pPr>
      <w:r>
        <w:separator/>
      </w:r>
    </w:p>
  </w:footnote>
  <w:footnote w:type="continuationSeparator" w:id="1">
    <w:p w:rsidR="00DC7661" w:rsidRDefault="00DC7661" w:rsidP="00CC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CC55E6" w:rsidRPr="00A67571" w:rsidTr="00B06E25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C55E6" w:rsidRPr="00A67571" w:rsidRDefault="00CC55E6" w:rsidP="00B06E25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>
            <w:rPr>
              <w:rFonts w:ascii="Times New Roman" w:hAnsi="Times New Roman"/>
              <w:b/>
              <w:noProof/>
              <w:sz w:val="20"/>
              <w:lang w:eastAsia="vi-VN"/>
            </w:rPr>
            <w:drawing>
              <wp:inline distT="0" distB="0" distL="0" distR="0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C55E6" w:rsidRPr="00EF4064" w:rsidRDefault="00CC55E6" w:rsidP="00B06E25">
          <w:pPr>
            <w:pStyle w:val="Heading6"/>
            <w:spacing w:before="0"/>
            <w:rPr>
              <w:rFonts w:ascii="Times New Roman" w:hAnsi="Times New Roman"/>
              <w:sz w:val="20"/>
              <w:lang w:val="en-US" w:eastAsia="en-US"/>
            </w:rPr>
          </w:pPr>
          <w:r w:rsidRPr="00EF4064">
            <w:rPr>
              <w:rFonts w:ascii="Times New Roman" w:hAnsi="Times New Roman"/>
              <w:sz w:val="20"/>
              <w:lang w:val="en-US" w:eastAsia="en-US"/>
            </w:rPr>
            <w:t xml:space="preserve">CÔNG TY LUẬT TNHH DƯƠNG GIA – DUONG GIA LAW COMPANY LIMITED </w:t>
          </w:r>
        </w:p>
        <w:p w:rsidR="00CC55E6" w:rsidRPr="00A67571" w:rsidRDefault="00CC55E6" w:rsidP="00B06E25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No 2305, VNT Tower, 19  Nguyen Trai Street, Thanh Xuan District, Hanoi City, Viet Nam</w:t>
          </w:r>
        </w:p>
        <w:p w:rsidR="00CC55E6" w:rsidRPr="00A67571" w:rsidRDefault="00CC55E6" w:rsidP="00B06E25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</w:t>
          </w:r>
          <w:r>
            <w:rPr>
              <w:rFonts w:ascii="Times New Roman" w:hAnsi="Times New Roman"/>
              <w:sz w:val="20"/>
            </w:rPr>
            <w:t xml:space="preserve">   1900.6190 – 1900.6568      </w:t>
          </w:r>
          <w:r w:rsidRPr="00A67571">
            <w:rPr>
              <w:rFonts w:ascii="Times New Roman" w:hAnsi="Times New Roman"/>
              <w:sz w:val="20"/>
            </w:rPr>
            <w:t xml:space="preserve">  Fax: 04.3562.7716</w:t>
          </w:r>
        </w:p>
        <w:p w:rsidR="00CC55E6" w:rsidRPr="00A67571" w:rsidRDefault="00CC55E6" w:rsidP="00B06E25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CC55E6" w:rsidRPr="00A67571" w:rsidRDefault="00CC55E6" w:rsidP="00CC55E6">
    <w:pPr>
      <w:pStyle w:val="Header"/>
      <w:rPr>
        <w:rFonts w:ascii="Times New Roman" w:hAnsi="Times New Roman"/>
      </w:rPr>
    </w:pPr>
  </w:p>
  <w:p w:rsidR="00CC55E6" w:rsidRPr="00CC55E6" w:rsidRDefault="00CC55E6" w:rsidP="00CC55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5E6"/>
    <w:rsid w:val="00846829"/>
    <w:rsid w:val="00CC55E6"/>
    <w:rsid w:val="00D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2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C55E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5E6"/>
  </w:style>
  <w:style w:type="paragraph" w:styleId="Header">
    <w:name w:val="header"/>
    <w:basedOn w:val="Normal"/>
    <w:link w:val="HeaderChar"/>
    <w:unhideWhenUsed/>
    <w:rsid w:val="00CC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55E6"/>
  </w:style>
  <w:style w:type="paragraph" w:styleId="Footer">
    <w:name w:val="footer"/>
    <w:basedOn w:val="Normal"/>
    <w:link w:val="FooterChar"/>
    <w:uiPriority w:val="99"/>
    <w:unhideWhenUsed/>
    <w:rsid w:val="00CC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E6"/>
  </w:style>
  <w:style w:type="character" w:customStyle="1" w:styleId="Heading6Char">
    <w:name w:val="Heading 6 Char"/>
    <w:basedOn w:val="DefaultParagraphFont"/>
    <w:link w:val="Heading6"/>
    <w:semiHidden/>
    <w:rsid w:val="00CC55E6"/>
    <w:rPr>
      <w:rFonts w:ascii="Calibri" w:eastAsia="Times New Roman" w:hAnsi="Calibri" w:cs="Times New Roman"/>
      <w:b/>
      <w:bCs/>
      <w:lang/>
    </w:rPr>
  </w:style>
  <w:style w:type="character" w:styleId="Hyperlink">
    <w:name w:val="Hyperlink"/>
    <w:uiPriority w:val="99"/>
    <w:unhideWhenUsed/>
    <w:rsid w:val="00CC5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</dc:creator>
  <cp:lastModifiedBy>NgocAnh</cp:lastModifiedBy>
  <cp:revision>1</cp:revision>
  <dcterms:created xsi:type="dcterms:W3CDTF">2015-07-24T12:12:00Z</dcterms:created>
  <dcterms:modified xsi:type="dcterms:W3CDTF">2015-07-24T12:21:00Z</dcterms:modified>
</cp:coreProperties>
</file>