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FD" w:rsidRPr="00841AFD" w:rsidRDefault="00841AFD" w:rsidP="00841AFD">
      <w:pPr>
        <w:spacing w:before="120" w:after="120" w:line="360" w:lineRule="auto"/>
        <w:rPr>
          <w:sz w:val="28"/>
          <w:szCs w:val="28"/>
        </w:rPr>
      </w:pPr>
    </w:p>
    <w:p w:rsidR="00841AFD" w:rsidRPr="00841AFD" w:rsidRDefault="00841AFD" w:rsidP="00841AFD">
      <w:pPr>
        <w:spacing w:before="120" w:after="120" w:line="360" w:lineRule="auto"/>
        <w:rPr>
          <w:sz w:val="28"/>
          <w:szCs w:val="28"/>
        </w:rPr>
      </w:pPr>
    </w:p>
    <w:p w:rsidR="00841AFD" w:rsidRPr="00841AFD" w:rsidRDefault="00841AFD" w:rsidP="00841AFD">
      <w:pPr>
        <w:spacing w:before="120" w:after="120" w:line="360" w:lineRule="auto"/>
        <w:jc w:val="center"/>
        <w:rPr>
          <w:b/>
          <w:sz w:val="28"/>
          <w:szCs w:val="28"/>
        </w:rPr>
      </w:pPr>
      <w:r w:rsidRPr="00841AFD">
        <w:rPr>
          <w:b/>
          <w:sz w:val="28"/>
          <w:szCs w:val="28"/>
        </w:rPr>
        <w:t>QUYẾT ĐỊNH</w:t>
      </w:r>
    </w:p>
    <w:p w:rsidR="00841AFD" w:rsidRPr="00841AFD" w:rsidRDefault="00841AFD" w:rsidP="00841AFD">
      <w:pPr>
        <w:spacing w:before="120" w:after="120" w:line="360" w:lineRule="auto"/>
        <w:ind w:right="-369"/>
        <w:jc w:val="center"/>
        <w:rPr>
          <w:b/>
          <w:spacing w:val="-8"/>
          <w:sz w:val="28"/>
          <w:szCs w:val="28"/>
        </w:rPr>
      </w:pPr>
      <w:r w:rsidRPr="00841AFD">
        <w:rPr>
          <w:b/>
          <w:spacing w:val="-8"/>
          <w:sz w:val="28"/>
          <w:szCs w:val="28"/>
        </w:rPr>
        <w:t xml:space="preserve">Về việc phê duyệt danh sách xã đặc biệt khó khăn, xã biên giới, </w:t>
      </w:r>
    </w:p>
    <w:p w:rsidR="00841AFD" w:rsidRPr="00841AFD" w:rsidRDefault="00841AFD" w:rsidP="00841AFD">
      <w:pPr>
        <w:spacing w:before="120" w:after="120" w:line="360" w:lineRule="auto"/>
        <w:ind w:right="-369"/>
        <w:jc w:val="center"/>
        <w:rPr>
          <w:b/>
          <w:spacing w:val="-8"/>
          <w:sz w:val="28"/>
          <w:szCs w:val="28"/>
        </w:rPr>
      </w:pPr>
      <w:r w:rsidRPr="00841AFD">
        <w:rPr>
          <w:b/>
          <w:spacing w:val="-8"/>
          <w:sz w:val="28"/>
          <w:szCs w:val="28"/>
        </w:rPr>
        <w:t>xã an toàn khu vào diện đầu tư Chương trình phát triển kinh tế - xã hội các xã đặc biệt khó khăn vùng đồng bào dân tộc và miền núi giai đoạn 2006 - 2010</w:t>
      </w:r>
    </w:p>
    <w:p w:rsidR="00841AFD" w:rsidRPr="00841AFD" w:rsidRDefault="00841AFD" w:rsidP="00841AFD">
      <w:pPr>
        <w:spacing w:before="120" w:after="120" w:line="360" w:lineRule="auto"/>
        <w:ind w:right="-369"/>
        <w:jc w:val="center"/>
        <w:rPr>
          <w:b/>
          <w:sz w:val="28"/>
          <w:szCs w:val="28"/>
        </w:rPr>
      </w:pPr>
      <w:r w:rsidRPr="00841AFD">
        <w:rPr>
          <w:b/>
          <w:sz w:val="28"/>
          <w:szCs w:val="28"/>
        </w:rPr>
        <w:t>(Chương trình 135 giai đoạn II)</w:t>
      </w:r>
    </w:p>
    <w:p w:rsidR="00841AFD" w:rsidRPr="00841AFD" w:rsidRDefault="00841AFD" w:rsidP="00841AFD">
      <w:pPr>
        <w:spacing w:before="120" w:after="120" w:line="360" w:lineRule="auto"/>
        <w:jc w:val="center"/>
        <w:rPr>
          <w:sz w:val="28"/>
          <w:szCs w:val="28"/>
        </w:rPr>
      </w:pPr>
      <w:r w:rsidRPr="00841AFD">
        <w:rPr>
          <w:sz w:val="28"/>
          <w:szCs w:val="28"/>
          <w:vertAlign w:val="superscript"/>
        </w:rPr>
        <w:t>__________</w:t>
      </w:r>
      <w:bookmarkStart w:id="0" w:name="_GoBack"/>
      <w:bookmarkEnd w:id="0"/>
    </w:p>
    <w:p w:rsidR="00841AFD" w:rsidRPr="00841AFD" w:rsidRDefault="00841AFD" w:rsidP="00841AFD">
      <w:pPr>
        <w:spacing w:before="120" w:after="120" w:line="360" w:lineRule="auto"/>
        <w:rPr>
          <w:sz w:val="28"/>
          <w:szCs w:val="28"/>
        </w:rPr>
      </w:pPr>
    </w:p>
    <w:p w:rsidR="00841AFD" w:rsidRPr="00841AFD" w:rsidRDefault="00841AFD" w:rsidP="00841AFD">
      <w:pPr>
        <w:spacing w:before="120" w:after="120" w:line="360" w:lineRule="auto"/>
        <w:jc w:val="center"/>
        <w:rPr>
          <w:b/>
          <w:sz w:val="28"/>
          <w:szCs w:val="28"/>
        </w:rPr>
      </w:pPr>
      <w:r w:rsidRPr="00841AFD">
        <w:rPr>
          <w:b/>
          <w:sz w:val="28"/>
          <w:szCs w:val="28"/>
        </w:rPr>
        <w:t>THỦ TƯỚNG CHÍNH PHỦ</w:t>
      </w:r>
    </w:p>
    <w:p w:rsidR="00841AFD" w:rsidRPr="00841AFD" w:rsidRDefault="00841AFD" w:rsidP="00841AFD">
      <w:pPr>
        <w:spacing w:before="120" w:after="120" w:line="360" w:lineRule="auto"/>
        <w:ind w:firstLine="567"/>
        <w:rPr>
          <w:sz w:val="28"/>
          <w:szCs w:val="28"/>
        </w:rPr>
      </w:pPr>
    </w:p>
    <w:p w:rsidR="00841AFD" w:rsidRPr="00841AFD" w:rsidRDefault="00841AFD" w:rsidP="00841AFD">
      <w:pPr>
        <w:spacing w:before="120" w:after="120" w:line="360" w:lineRule="auto"/>
        <w:ind w:firstLine="567"/>
        <w:rPr>
          <w:sz w:val="28"/>
          <w:szCs w:val="28"/>
        </w:rPr>
      </w:pPr>
      <w:r w:rsidRPr="00841AFD">
        <w:rPr>
          <w:sz w:val="28"/>
          <w:szCs w:val="28"/>
        </w:rPr>
        <w:t>Căn cứ Luật Tổ chức Chính phủ ngày 25 tháng 12 năm 2001;</w:t>
      </w:r>
    </w:p>
    <w:p w:rsidR="00841AFD" w:rsidRPr="00841AFD" w:rsidRDefault="00841AFD" w:rsidP="00841AFD">
      <w:pPr>
        <w:spacing w:before="120" w:after="120" w:line="360" w:lineRule="auto"/>
        <w:ind w:firstLine="567"/>
        <w:rPr>
          <w:sz w:val="28"/>
          <w:szCs w:val="28"/>
        </w:rPr>
      </w:pPr>
      <w:r w:rsidRPr="00841AFD">
        <w:rPr>
          <w:sz w:val="28"/>
          <w:szCs w:val="28"/>
        </w:rPr>
        <w:t>Căn cứ Quyết định số 07/2006/QĐ-TTg ngày 10 tháng 01 năm 2006 của Thủ tướng Chính phủ về việc phê duyệt Chương trình phát triển kinh tế - xã hội các xã đặc biệt khó khăn vùng đồng bào dân tộc và miền núi giai  đoạn 2006 - 2010;</w:t>
      </w:r>
    </w:p>
    <w:p w:rsidR="00841AFD" w:rsidRPr="00841AFD" w:rsidRDefault="00841AFD" w:rsidP="00841AFD">
      <w:pPr>
        <w:spacing w:before="120" w:after="120" w:line="360" w:lineRule="auto"/>
        <w:ind w:right="-39" w:firstLine="567"/>
        <w:rPr>
          <w:sz w:val="28"/>
          <w:szCs w:val="28"/>
        </w:rPr>
      </w:pPr>
      <w:r w:rsidRPr="00841AFD">
        <w:rPr>
          <w:sz w:val="28"/>
          <w:szCs w:val="28"/>
        </w:rPr>
        <w:t>Xét đề nghị của Bộ trưởng, Chủ nhiệm ñy ban Dân tộc,</w:t>
      </w:r>
    </w:p>
    <w:p w:rsidR="00841AFD" w:rsidRPr="00841AFD" w:rsidRDefault="00841AFD" w:rsidP="00841AFD">
      <w:pPr>
        <w:spacing w:before="120" w:after="120" w:line="360" w:lineRule="auto"/>
        <w:rPr>
          <w:sz w:val="28"/>
          <w:szCs w:val="28"/>
          <w:lang w:val="es-PR"/>
        </w:rPr>
      </w:pPr>
    </w:p>
    <w:p w:rsidR="00841AFD" w:rsidRPr="00841AFD" w:rsidRDefault="00841AFD" w:rsidP="00841AFD">
      <w:pPr>
        <w:spacing w:before="120" w:after="120" w:line="360" w:lineRule="auto"/>
        <w:ind w:right="-79"/>
        <w:jc w:val="center"/>
        <w:rPr>
          <w:b/>
          <w:sz w:val="28"/>
          <w:szCs w:val="28"/>
          <w:lang w:val="es-PR"/>
        </w:rPr>
      </w:pPr>
      <w:r w:rsidRPr="00841AFD">
        <w:rPr>
          <w:b/>
          <w:sz w:val="28"/>
          <w:szCs w:val="28"/>
          <w:lang w:val="es-PR"/>
        </w:rPr>
        <w:t>QUYẾT ĐỊNH :</w:t>
      </w:r>
    </w:p>
    <w:p w:rsidR="00841AFD" w:rsidRPr="00841AFD" w:rsidRDefault="00841AFD" w:rsidP="00841AFD">
      <w:pPr>
        <w:spacing w:before="120" w:after="120" w:line="360" w:lineRule="auto"/>
        <w:ind w:firstLine="544"/>
        <w:rPr>
          <w:b/>
          <w:spacing w:val="-2"/>
          <w:sz w:val="28"/>
          <w:szCs w:val="28"/>
          <w:lang w:val="es-PR"/>
        </w:rPr>
      </w:pPr>
    </w:p>
    <w:p w:rsidR="00841AFD" w:rsidRPr="00841AFD" w:rsidRDefault="00841AFD" w:rsidP="00841AFD">
      <w:pPr>
        <w:spacing w:before="120" w:after="120" w:line="360" w:lineRule="auto"/>
        <w:ind w:firstLine="544"/>
        <w:rPr>
          <w:spacing w:val="-2"/>
          <w:sz w:val="28"/>
          <w:szCs w:val="28"/>
          <w:lang w:val="es-PR"/>
        </w:rPr>
      </w:pPr>
      <w:r w:rsidRPr="00841AFD">
        <w:rPr>
          <w:b/>
          <w:spacing w:val="-2"/>
          <w:sz w:val="28"/>
          <w:szCs w:val="28"/>
          <w:lang w:val="es-PR"/>
        </w:rPr>
        <w:t xml:space="preserve">Điều 1. </w:t>
      </w:r>
      <w:r w:rsidRPr="00841AFD">
        <w:rPr>
          <w:spacing w:val="-2"/>
          <w:sz w:val="28"/>
          <w:szCs w:val="28"/>
          <w:lang w:val="es-PR"/>
        </w:rPr>
        <w:t>P</w:t>
      </w:r>
      <w:r w:rsidRPr="00841AFD">
        <w:rPr>
          <w:sz w:val="28"/>
          <w:szCs w:val="28"/>
          <w:lang w:val="es-PR"/>
        </w:rPr>
        <w:t xml:space="preserve">hê duyệt </w:t>
      </w:r>
      <w:r w:rsidRPr="00841AFD">
        <w:rPr>
          <w:spacing w:val="-2"/>
          <w:sz w:val="28"/>
          <w:szCs w:val="28"/>
          <w:lang w:val="es-PR"/>
        </w:rPr>
        <w:t xml:space="preserve">danh sách 1.644 xã đặc biệt khó khăn, xã biên giới,  xã an toàn khu chưa hoàn thành mục tiêu Chương trình 135 giai đoạn               1999 - 2005 và các xã được chia tách theo các Nghị định của Chính phủ từ xã chưa hoàn thành mục tiêu Chương trình 135 giai đoạn 1999 - 2005 vào diện đầu tư Chương trình </w:t>
      </w:r>
      <w:r w:rsidRPr="00841AFD">
        <w:rPr>
          <w:sz w:val="28"/>
          <w:szCs w:val="28"/>
          <w:lang w:val="es-PR"/>
        </w:rPr>
        <w:t xml:space="preserve">phát triển kinh tế - xã hội các xã </w:t>
      </w:r>
      <w:r w:rsidRPr="00841AFD">
        <w:rPr>
          <w:sz w:val="28"/>
          <w:szCs w:val="28"/>
          <w:lang w:val="es-PR"/>
        </w:rPr>
        <w:lastRenderedPageBreak/>
        <w:t>đặc biệt khó khăn vùng đồng bào dân tộc và miền núi giai đoạn 2006 - 2010 (</w:t>
      </w:r>
      <w:r w:rsidRPr="00841AFD">
        <w:rPr>
          <w:spacing w:val="-2"/>
          <w:sz w:val="28"/>
          <w:szCs w:val="28"/>
          <w:lang w:val="es-PR"/>
        </w:rPr>
        <w:t xml:space="preserve">Chương trình 135 giai đoạn II). </w:t>
      </w:r>
      <w:r w:rsidRPr="00841AFD">
        <w:rPr>
          <w:sz w:val="28"/>
          <w:szCs w:val="28"/>
          <w:lang w:val="es-PR"/>
        </w:rPr>
        <w:t>Danh</w:t>
      </w:r>
      <w:r w:rsidRPr="00841AFD">
        <w:rPr>
          <w:spacing w:val="-2"/>
          <w:sz w:val="28"/>
          <w:szCs w:val="28"/>
          <w:lang w:val="es-PR"/>
        </w:rPr>
        <w:t xml:space="preserve"> sách các xã vào diện đầu tư Chương trình 135 giai                      đoạn 2006 - 2010 kèm theo Quyết định này.</w:t>
      </w:r>
    </w:p>
    <w:p w:rsidR="00841AFD" w:rsidRPr="00841AFD" w:rsidRDefault="00841AFD" w:rsidP="00841AFD">
      <w:pPr>
        <w:spacing w:before="120" w:after="120" w:line="360" w:lineRule="auto"/>
        <w:ind w:firstLine="544"/>
        <w:rPr>
          <w:sz w:val="28"/>
          <w:szCs w:val="28"/>
          <w:lang w:val="es-PR"/>
        </w:rPr>
      </w:pPr>
      <w:r w:rsidRPr="00841AFD">
        <w:rPr>
          <w:b/>
          <w:sz w:val="28"/>
          <w:szCs w:val="28"/>
          <w:lang w:val="es-PR"/>
        </w:rPr>
        <w:t xml:space="preserve">Điều 2. </w:t>
      </w:r>
      <w:r w:rsidRPr="00841AFD">
        <w:rPr>
          <w:sz w:val="28"/>
          <w:szCs w:val="28"/>
          <w:lang w:val="es-PR"/>
        </w:rPr>
        <w:t>Thực hiện hỗ trợ đầu tư từ ngân sách nhà nước giai đoạn 2006 - 2010 cho tổng số 1.644 xã như sau:</w:t>
      </w:r>
    </w:p>
    <w:p w:rsidR="00841AFD" w:rsidRPr="00841AFD" w:rsidRDefault="00841AFD" w:rsidP="00841AFD">
      <w:pPr>
        <w:spacing w:before="120" w:after="120" w:line="360" w:lineRule="auto"/>
        <w:ind w:firstLine="544"/>
        <w:rPr>
          <w:sz w:val="28"/>
          <w:szCs w:val="28"/>
          <w:lang w:val="es-PR"/>
        </w:rPr>
      </w:pPr>
      <w:r w:rsidRPr="00841AFD">
        <w:rPr>
          <w:sz w:val="28"/>
          <w:szCs w:val="28"/>
          <w:lang w:val="es-PR"/>
        </w:rPr>
        <w:t>1. Ngân sách trung ương hỗ trợ đầu tư: 1.581 xã (Danh</w:t>
      </w:r>
      <w:r w:rsidRPr="00841AFD">
        <w:rPr>
          <w:spacing w:val="-2"/>
          <w:sz w:val="28"/>
          <w:szCs w:val="28"/>
          <w:lang w:val="es-PR"/>
        </w:rPr>
        <w:t xml:space="preserve"> sách </w:t>
      </w:r>
      <w:r w:rsidRPr="00841AFD">
        <w:rPr>
          <w:sz w:val="28"/>
          <w:szCs w:val="28"/>
          <w:lang w:val="es-PR"/>
        </w:rPr>
        <w:t>kèm theo).</w:t>
      </w:r>
    </w:p>
    <w:p w:rsidR="00841AFD" w:rsidRPr="00841AFD" w:rsidRDefault="00841AFD" w:rsidP="00841AFD">
      <w:pPr>
        <w:spacing w:before="120" w:after="120" w:line="360" w:lineRule="auto"/>
        <w:ind w:firstLine="544"/>
        <w:rPr>
          <w:sz w:val="28"/>
          <w:szCs w:val="28"/>
          <w:lang w:val="es-PR"/>
        </w:rPr>
      </w:pPr>
      <w:r w:rsidRPr="00841AFD">
        <w:rPr>
          <w:sz w:val="28"/>
          <w:szCs w:val="28"/>
          <w:lang w:val="es-PR"/>
        </w:rPr>
        <w:t>2. Ngân sách địa phương đầu tư: 63 xã (Danh</w:t>
      </w:r>
      <w:r w:rsidRPr="00841AFD">
        <w:rPr>
          <w:spacing w:val="-2"/>
          <w:sz w:val="28"/>
          <w:szCs w:val="28"/>
          <w:lang w:val="es-PR"/>
        </w:rPr>
        <w:t xml:space="preserve"> sách </w:t>
      </w:r>
      <w:r w:rsidRPr="00841AFD">
        <w:rPr>
          <w:sz w:val="28"/>
          <w:szCs w:val="28"/>
          <w:lang w:val="es-PR"/>
        </w:rPr>
        <w:t>kèm theo).</w:t>
      </w:r>
    </w:p>
    <w:p w:rsidR="00841AFD" w:rsidRPr="00841AFD" w:rsidRDefault="00841AFD" w:rsidP="00841AFD">
      <w:pPr>
        <w:spacing w:before="120" w:after="120" w:line="360" w:lineRule="auto"/>
        <w:ind w:firstLine="544"/>
        <w:rPr>
          <w:sz w:val="28"/>
          <w:szCs w:val="28"/>
          <w:lang w:val="es-PR"/>
        </w:rPr>
      </w:pPr>
      <w:r w:rsidRPr="00841AFD">
        <w:rPr>
          <w:b/>
          <w:sz w:val="28"/>
          <w:szCs w:val="28"/>
          <w:lang w:val="es-PR"/>
        </w:rPr>
        <w:t xml:space="preserve">Điều 3. </w:t>
      </w:r>
      <w:r w:rsidRPr="00841AFD">
        <w:rPr>
          <w:sz w:val="28"/>
          <w:szCs w:val="28"/>
          <w:lang w:val="es-PR"/>
        </w:rPr>
        <w:t>Các xã chưa hoàn thành mục tiêu Chương trình 135 còn lại do chia tách từ xã đã hoàn thành mục tiêu Chương trình 135 giai đoạn 1999 - 2005 và do các địa phương đề nghị sẽ được xem xét bổ sung vào diện đầu tư Chương trình 135 sau khi có kết quả phân định 3 khu vực.</w:t>
      </w:r>
    </w:p>
    <w:p w:rsidR="00841AFD" w:rsidRPr="00841AFD" w:rsidRDefault="00841AFD" w:rsidP="00841AFD">
      <w:pPr>
        <w:spacing w:before="120" w:after="120" w:line="360" w:lineRule="auto"/>
        <w:ind w:firstLine="544"/>
        <w:rPr>
          <w:sz w:val="28"/>
          <w:szCs w:val="28"/>
          <w:lang w:val="es-PR"/>
        </w:rPr>
      </w:pPr>
      <w:r w:rsidRPr="00841AFD">
        <w:rPr>
          <w:b/>
          <w:sz w:val="28"/>
          <w:szCs w:val="28"/>
          <w:lang w:val="es-PR"/>
        </w:rPr>
        <w:t xml:space="preserve">Điều 4. </w:t>
      </w:r>
      <w:r w:rsidRPr="00841AFD">
        <w:rPr>
          <w:sz w:val="28"/>
          <w:szCs w:val="28"/>
          <w:lang w:val="es-PR"/>
        </w:rPr>
        <w:t>Quyết định này có hiệu lực thi hành sau 15 ngày, kể từ ngày đăng Công báo.</w:t>
      </w:r>
    </w:p>
    <w:p w:rsidR="00841AFD" w:rsidRPr="00841AFD" w:rsidRDefault="00841AFD" w:rsidP="00841AFD">
      <w:pPr>
        <w:spacing w:before="120" w:after="120" w:line="360" w:lineRule="auto"/>
        <w:ind w:firstLine="544"/>
        <w:rPr>
          <w:spacing w:val="-4"/>
          <w:sz w:val="28"/>
          <w:szCs w:val="28"/>
          <w:lang w:val="es-PR"/>
        </w:rPr>
      </w:pPr>
      <w:r w:rsidRPr="00841AFD">
        <w:rPr>
          <w:spacing w:val="-4"/>
          <w:sz w:val="28"/>
          <w:szCs w:val="28"/>
          <w:lang w:val="es-PR"/>
        </w:rPr>
        <w:t>Quyết định này thay thế các Quyết định của Thủ tướng Chính phủ về việc phê duyệt danh sách, bổ sung và thay tên các xã đặc biệt khó khăn, xã biên giới, xã an toàn khu thuộc phạm vi Chương trình 135 giai đoạn 1999 - 2005: Quyết định số 1232/QĐ-TTg ngày 24 tháng 12 năm 1999; Quyết định             số 647/QĐ-TTg ngày 12 tháng 7 năm 2000; Quyết định số 42/2001/QĐ-TTg ngày 26 tháng 3 năm 2001; Quyết định số 120/2002/QĐ-TTg ngày 18 tháng 9 năm 2002; Quyết định số 231/2003/QĐ-TTg ngày 12 tháng 11 năm 2003 và Quyết định số 15/2005/QĐ-TTg ngày 19 tháng 01 năm 2005.</w:t>
      </w:r>
    </w:p>
    <w:p w:rsidR="00841AFD" w:rsidRPr="00841AFD" w:rsidRDefault="00841AFD" w:rsidP="00841AFD">
      <w:pPr>
        <w:spacing w:before="120" w:after="120" w:line="360" w:lineRule="auto"/>
        <w:ind w:firstLine="544"/>
        <w:rPr>
          <w:sz w:val="28"/>
          <w:szCs w:val="28"/>
          <w:lang w:val="es-PR"/>
        </w:rPr>
      </w:pPr>
      <w:r w:rsidRPr="00841AFD">
        <w:rPr>
          <w:b/>
          <w:sz w:val="28"/>
          <w:szCs w:val="28"/>
          <w:lang w:val="es-PR"/>
        </w:rPr>
        <w:t xml:space="preserve">Điều 5. </w:t>
      </w:r>
      <w:r w:rsidRPr="00841AFD">
        <w:rPr>
          <w:sz w:val="28"/>
          <w:szCs w:val="28"/>
          <w:lang w:val="es-PR"/>
        </w:rPr>
        <w:t>Các Bộ trưởng, Thủ trưởng cơ quan ngang Bộ, Thủ trưởng cơ quan thuộc Chính phủ, Chủ tịch ñy ban nhân dân tỉnh, thành phố trực thuộc Trung ương chịu trách nhiệm thi hành Quyết định này./.</w:t>
      </w:r>
    </w:p>
    <w:p w:rsidR="00841AFD" w:rsidRPr="00841AFD" w:rsidRDefault="00841AFD" w:rsidP="00841AFD">
      <w:pPr>
        <w:tabs>
          <w:tab w:val="left" w:pos="5884"/>
        </w:tabs>
        <w:spacing w:before="120" w:after="120" w:line="360" w:lineRule="auto"/>
        <w:ind w:left="5040"/>
        <w:jc w:val="center"/>
        <w:rPr>
          <w:b/>
          <w:sz w:val="28"/>
          <w:szCs w:val="28"/>
          <w:lang w:val="es-PR"/>
        </w:rPr>
      </w:pPr>
    </w:p>
    <w:p w:rsidR="00841AFD" w:rsidRPr="00841AFD" w:rsidRDefault="00841AFD" w:rsidP="00841AFD">
      <w:pPr>
        <w:tabs>
          <w:tab w:val="left" w:pos="5884"/>
        </w:tabs>
        <w:spacing w:before="120" w:after="120" w:line="360" w:lineRule="auto"/>
        <w:ind w:left="5040"/>
        <w:jc w:val="center"/>
        <w:rPr>
          <w:b/>
          <w:sz w:val="28"/>
          <w:szCs w:val="28"/>
          <w:lang w:val="es-PR"/>
        </w:rPr>
      </w:pPr>
    </w:p>
    <w:p w:rsidR="00841AFD" w:rsidRPr="00841AFD" w:rsidRDefault="00841AFD" w:rsidP="00841AFD">
      <w:pPr>
        <w:tabs>
          <w:tab w:val="left" w:pos="5884"/>
        </w:tabs>
        <w:spacing w:before="120" w:after="120" w:line="360" w:lineRule="auto"/>
        <w:ind w:left="5040"/>
        <w:jc w:val="center"/>
        <w:rPr>
          <w:b/>
          <w:sz w:val="28"/>
          <w:szCs w:val="28"/>
          <w:lang w:val="es-PR"/>
        </w:rPr>
      </w:pPr>
    </w:p>
    <w:p w:rsidR="00841AFD" w:rsidRPr="00841AFD" w:rsidRDefault="00841AFD" w:rsidP="00841AFD">
      <w:pPr>
        <w:tabs>
          <w:tab w:val="left" w:pos="5884"/>
        </w:tabs>
        <w:spacing w:before="120" w:after="120" w:line="360" w:lineRule="auto"/>
        <w:ind w:left="5040"/>
        <w:jc w:val="center"/>
        <w:rPr>
          <w:b/>
          <w:sz w:val="28"/>
          <w:szCs w:val="28"/>
          <w:lang w:val="es-PR"/>
        </w:rPr>
      </w:pPr>
      <w:r w:rsidRPr="00841AFD">
        <w:rPr>
          <w:b/>
          <w:sz w:val="28"/>
          <w:szCs w:val="28"/>
          <w:lang w:val="es-PR"/>
        </w:rPr>
        <w:lastRenderedPageBreak/>
        <w:t>KT. THỦ TƯỚNG</w:t>
      </w:r>
    </w:p>
    <w:p w:rsidR="00841AFD" w:rsidRPr="00841AFD" w:rsidRDefault="00841AFD" w:rsidP="00841AFD">
      <w:pPr>
        <w:tabs>
          <w:tab w:val="left" w:pos="5884"/>
        </w:tabs>
        <w:spacing w:before="120" w:after="120" w:line="360" w:lineRule="auto"/>
        <w:ind w:left="5040"/>
        <w:jc w:val="center"/>
        <w:rPr>
          <w:sz w:val="28"/>
          <w:szCs w:val="28"/>
          <w:lang w:val="es-PR"/>
        </w:rPr>
      </w:pPr>
      <w:r w:rsidRPr="00841AFD">
        <w:rPr>
          <w:b/>
          <w:sz w:val="28"/>
          <w:szCs w:val="28"/>
          <w:lang w:val="es-PR"/>
        </w:rPr>
        <w:t>PHÓ THỦ TƯỚNG</w:t>
      </w:r>
      <w:r w:rsidRPr="00841AFD">
        <w:rPr>
          <w:sz w:val="28"/>
          <w:szCs w:val="28"/>
          <w:lang w:val="es-PR"/>
        </w:rPr>
        <w:t xml:space="preserve">   </w:t>
      </w:r>
    </w:p>
    <w:p w:rsidR="00841AFD" w:rsidRPr="00841AFD" w:rsidRDefault="00841AFD" w:rsidP="00841AFD">
      <w:pPr>
        <w:tabs>
          <w:tab w:val="left" w:pos="5884"/>
        </w:tabs>
        <w:spacing w:before="120" w:after="120" w:line="360" w:lineRule="auto"/>
        <w:ind w:left="5040"/>
        <w:jc w:val="center"/>
        <w:rPr>
          <w:b/>
          <w:sz w:val="28"/>
          <w:szCs w:val="28"/>
          <w:lang w:val="es-PR"/>
        </w:rPr>
      </w:pPr>
      <w:r w:rsidRPr="00841AFD">
        <w:rPr>
          <w:b/>
          <w:sz w:val="28"/>
          <w:szCs w:val="28"/>
          <w:lang w:val="es-PR"/>
        </w:rPr>
        <w:t>Phạm Gia Khiêm - Đã ký</w:t>
      </w:r>
    </w:p>
    <w:p w:rsidR="00841AFD" w:rsidRPr="00841AFD" w:rsidRDefault="00841AFD" w:rsidP="00841AFD">
      <w:pPr>
        <w:tabs>
          <w:tab w:val="left" w:pos="5884"/>
        </w:tabs>
        <w:spacing w:before="120" w:after="120" w:line="360" w:lineRule="auto"/>
        <w:rPr>
          <w:b/>
          <w:i/>
          <w:sz w:val="28"/>
          <w:szCs w:val="28"/>
          <w:lang w:val="es-PR"/>
        </w:rPr>
      </w:pPr>
      <w:r w:rsidRPr="00841AFD">
        <w:rPr>
          <w:b/>
          <w:i/>
          <w:sz w:val="28"/>
          <w:szCs w:val="28"/>
          <w:lang w:val="es-PR"/>
        </w:rPr>
        <w:t xml:space="preserve">Nơi nhận:                                                                        </w:t>
      </w:r>
      <w:r w:rsidRPr="00841AFD">
        <w:rPr>
          <w:b/>
          <w:i/>
          <w:sz w:val="28"/>
          <w:szCs w:val="28"/>
          <w:lang w:val="es-PR"/>
        </w:rPr>
        <w:tab/>
      </w:r>
    </w:p>
    <w:p w:rsidR="00841AFD" w:rsidRPr="00841AFD" w:rsidRDefault="00841AFD" w:rsidP="00841AFD">
      <w:pPr>
        <w:spacing w:before="120" w:after="120" w:line="360" w:lineRule="auto"/>
        <w:rPr>
          <w:sz w:val="28"/>
          <w:szCs w:val="28"/>
          <w:lang w:val="es-PR"/>
        </w:rPr>
      </w:pPr>
      <w:r w:rsidRPr="00841AFD">
        <w:rPr>
          <w:sz w:val="28"/>
          <w:szCs w:val="28"/>
          <w:lang w:val="es-PR"/>
        </w:rPr>
        <w:t>- Ban Bí thư Trung ương Đảng;</w:t>
      </w:r>
    </w:p>
    <w:p w:rsidR="00841AFD" w:rsidRPr="00841AFD" w:rsidRDefault="00841AFD" w:rsidP="00841AFD">
      <w:pPr>
        <w:spacing w:before="120" w:after="120" w:line="360" w:lineRule="auto"/>
        <w:rPr>
          <w:sz w:val="28"/>
          <w:szCs w:val="28"/>
          <w:lang w:val="es-PR"/>
        </w:rPr>
      </w:pPr>
      <w:r w:rsidRPr="00841AFD">
        <w:rPr>
          <w:sz w:val="28"/>
          <w:szCs w:val="28"/>
          <w:lang w:val="es-PR"/>
        </w:rPr>
        <w:t>- Thủ tướng, các Phó Thủ tướng Chính phủ;</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Các Bộ, cơ quan ngang Bộ, </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cơ quan thuộc Chính phủ;</w:t>
      </w:r>
    </w:p>
    <w:p w:rsidR="00841AFD" w:rsidRPr="00841AFD" w:rsidRDefault="00841AFD" w:rsidP="00841AFD">
      <w:pPr>
        <w:spacing w:before="120" w:after="120" w:line="360" w:lineRule="auto"/>
        <w:rPr>
          <w:sz w:val="28"/>
          <w:szCs w:val="28"/>
          <w:lang w:val="es-PR"/>
        </w:rPr>
      </w:pPr>
      <w:r w:rsidRPr="00841AFD">
        <w:rPr>
          <w:sz w:val="28"/>
          <w:szCs w:val="28"/>
          <w:lang w:val="es-PR"/>
        </w:rPr>
        <w:t>- HĐND, UBND các tỉnh,</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thành phố trực thuộc Trung ương;</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Văn phòng Trung ương và các Ban của Đảng;                                        </w:t>
      </w:r>
    </w:p>
    <w:p w:rsidR="00841AFD" w:rsidRPr="00841AFD" w:rsidRDefault="00841AFD" w:rsidP="00841AFD">
      <w:pPr>
        <w:spacing w:before="120" w:after="120" w:line="360" w:lineRule="auto"/>
        <w:rPr>
          <w:sz w:val="28"/>
          <w:szCs w:val="28"/>
          <w:lang w:val="es-PR"/>
        </w:rPr>
      </w:pPr>
      <w:r w:rsidRPr="00841AFD">
        <w:rPr>
          <w:sz w:val="28"/>
          <w:szCs w:val="28"/>
          <w:lang w:val="es-PR"/>
        </w:rPr>
        <w:t>- Văn phòng Chủ tịch nước;</w:t>
      </w:r>
    </w:p>
    <w:p w:rsidR="00841AFD" w:rsidRPr="00841AFD" w:rsidRDefault="00841AFD" w:rsidP="00841AFD">
      <w:pPr>
        <w:spacing w:before="120" w:after="120" w:line="360" w:lineRule="auto"/>
        <w:rPr>
          <w:sz w:val="28"/>
          <w:szCs w:val="28"/>
          <w:lang w:val="es-PR"/>
        </w:rPr>
      </w:pPr>
      <w:r w:rsidRPr="00841AFD">
        <w:rPr>
          <w:sz w:val="28"/>
          <w:szCs w:val="28"/>
          <w:lang w:val="es-PR"/>
        </w:rPr>
        <w:t>- Hội đồng Dân tộc và các Ủy ban của Quốc hội;</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Văn phòng Quốc hội;                                                                         </w:t>
      </w:r>
      <w:r w:rsidRPr="00841AFD">
        <w:rPr>
          <w:b/>
          <w:sz w:val="28"/>
          <w:szCs w:val="28"/>
          <w:lang w:val="es-PR"/>
        </w:rPr>
        <w:t xml:space="preserve">                                                            </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Toà án nhân dân tối cao;                                                                             </w:t>
      </w:r>
    </w:p>
    <w:p w:rsidR="00841AFD" w:rsidRPr="00841AFD" w:rsidRDefault="00841AFD" w:rsidP="00841AFD">
      <w:pPr>
        <w:spacing w:before="120" w:after="120" w:line="360" w:lineRule="auto"/>
        <w:rPr>
          <w:b/>
          <w:sz w:val="28"/>
          <w:szCs w:val="28"/>
          <w:lang w:val="es-PR"/>
        </w:rPr>
      </w:pPr>
      <w:r w:rsidRPr="00841AFD">
        <w:rPr>
          <w:sz w:val="28"/>
          <w:szCs w:val="28"/>
          <w:lang w:val="es-PR"/>
        </w:rPr>
        <w:t>- Viện Kiểm sát nhân dân tối cao;</w:t>
      </w:r>
      <w:r w:rsidRPr="00841AFD">
        <w:rPr>
          <w:b/>
          <w:sz w:val="28"/>
          <w:szCs w:val="28"/>
          <w:lang w:val="es-PR"/>
        </w:rPr>
        <w:t xml:space="preserve"> </w:t>
      </w:r>
    </w:p>
    <w:p w:rsidR="00841AFD" w:rsidRPr="00841AFD" w:rsidRDefault="00841AFD" w:rsidP="00841AFD">
      <w:pPr>
        <w:spacing w:before="120" w:after="120" w:line="360" w:lineRule="auto"/>
        <w:rPr>
          <w:b/>
          <w:sz w:val="28"/>
          <w:szCs w:val="28"/>
          <w:lang w:val="es-PR"/>
        </w:rPr>
      </w:pPr>
      <w:r w:rsidRPr="00841AFD">
        <w:rPr>
          <w:sz w:val="28"/>
          <w:szCs w:val="28"/>
          <w:lang w:val="es-PR"/>
        </w:rPr>
        <w:t>- Cơ quan Trung ương của các đoàn thể;</w:t>
      </w:r>
    </w:p>
    <w:p w:rsidR="00841AFD" w:rsidRPr="00841AFD" w:rsidRDefault="00841AFD" w:rsidP="00841AFD">
      <w:pPr>
        <w:spacing w:before="120" w:after="120" w:line="360" w:lineRule="auto"/>
        <w:rPr>
          <w:sz w:val="28"/>
          <w:szCs w:val="28"/>
          <w:lang w:val="es-PR"/>
        </w:rPr>
      </w:pPr>
      <w:r w:rsidRPr="00841AFD">
        <w:rPr>
          <w:sz w:val="28"/>
          <w:szCs w:val="28"/>
          <w:lang w:val="es-PR"/>
        </w:rPr>
        <w:t>- Học viện Hành chính Quốc gia;</w:t>
      </w:r>
    </w:p>
    <w:p w:rsidR="00841AFD" w:rsidRPr="00841AFD" w:rsidRDefault="00841AFD" w:rsidP="00841AFD">
      <w:pPr>
        <w:spacing w:before="120" w:after="120" w:line="360" w:lineRule="auto"/>
        <w:rPr>
          <w:sz w:val="28"/>
          <w:szCs w:val="28"/>
          <w:lang w:val="es-PR"/>
        </w:rPr>
      </w:pPr>
      <w:r w:rsidRPr="00841AFD">
        <w:rPr>
          <w:sz w:val="28"/>
          <w:szCs w:val="28"/>
          <w:lang w:val="es-PR"/>
        </w:rPr>
        <w:t>- VPCP: BTCN, TBNC, các PCN, BNC,</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Website Chính phủ, Ban Điều hành 112,</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Người phát ngôn của Thủ tướng Chính phủ,</w:t>
      </w:r>
    </w:p>
    <w:p w:rsidR="00841AFD" w:rsidRPr="00841AFD" w:rsidRDefault="00841AFD" w:rsidP="00841AFD">
      <w:pPr>
        <w:spacing w:before="120" w:after="120" w:line="360" w:lineRule="auto"/>
        <w:rPr>
          <w:sz w:val="28"/>
          <w:szCs w:val="28"/>
          <w:lang w:val="es-PR"/>
        </w:rPr>
      </w:pPr>
      <w:r w:rsidRPr="00841AFD">
        <w:rPr>
          <w:sz w:val="28"/>
          <w:szCs w:val="28"/>
          <w:lang w:val="es-PR"/>
        </w:rPr>
        <w:t xml:space="preserve">  các Vụ, Cục, đơn vị trực thuộc, Công báo;</w:t>
      </w:r>
    </w:p>
    <w:p w:rsidR="00841AFD" w:rsidRPr="00841AFD" w:rsidRDefault="00841AFD" w:rsidP="00841AFD">
      <w:pPr>
        <w:spacing w:before="120" w:after="120" w:line="360" w:lineRule="auto"/>
        <w:rPr>
          <w:sz w:val="28"/>
          <w:szCs w:val="28"/>
          <w:lang w:val="es-PR"/>
        </w:rPr>
      </w:pPr>
      <w:r w:rsidRPr="00841AFD">
        <w:rPr>
          <w:sz w:val="28"/>
          <w:szCs w:val="28"/>
          <w:lang w:val="es-PR"/>
        </w:rPr>
        <w:lastRenderedPageBreak/>
        <w:t>- Lưu: Văn thư, VX (5b). Minh</w:t>
      </w:r>
    </w:p>
    <w:p w:rsidR="00841AFD" w:rsidRPr="00841AFD" w:rsidRDefault="00841AFD" w:rsidP="00841AFD">
      <w:pPr>
        <w:spacing w:before="120" w:after="120" w:line="360" w:lineRule="auto"/>
        <w:rPr>
          <w:sz w:val="28"/>
          <w:szCs w:val="28"/>
        </w:rPr>
      </w:pPr>
    </w:p>
    <w:p w:rsidR="003C3FB5" w:rsidRPr="00841AFD" w:rsidRDefault="003C3FB5" w:rsidP="00841AFD">
      <w:pPr>
        <w:spacing w:before="120" w:after="120" w:line="360" w:lineRule="auto"/>
        <w:rPr>
          <w:sz w:val="28"/>
          <w:szCs w:val="28"/>
        </w:rPr>
      </w:pPr>
    </w:p>
    <w:sectPr w:rsidR="003C3FB5" w:rsidRPr="00841AFD"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3A" w:rsidRDefault="00D87F3A" w:rsidP="00D9152F">
      <w:r>
        <w:separator/>
      </w:r>
    </w:p>
  </w:endnote>
  <w:endnote w:type="continuationSeparator" w:id="0">
    <w:p w:rsidR="00D87F3A" w:rsidRDefault="00D87F3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3A" w:rsidRDefault="00D87F3A" w:rsidP="00D9152F">
      <w:r>
        <w:separator/>
      </w:r>
    </w:p>
  </w:footnote>
  <w:footnote w:type="continuationSeparator" w:id="0">
    <w:p w:rsidR="00D87F3A" w:rsidRDefault="00D87F3A"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D87F3A"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57273"/>
    <w:rsid w:val="007D6C38"/>
    <w:rsid w:val="007E1005"/>
    <w:rsid w:val="00817063"/>
    <w:rsid w:val="00841AFD"/>
    <w:rsid w:val="008D06F6"/>
    <w:rsid w:val="00912BDF"/>
    <w:rsid w:val="00916C35"/>
    <w:rsid w:val="0093601B"/>
    <w:rsid w:val="00993721"/>
    <w:rsid w:val="00A47944"/>
    <w:rsid w:val="00AB7845"/>
    <w:rsid w:val="00B12B59"/>
    <w:rsid w:val="00B244DE"/>
    <w:rsid w:val="00B5216B"/>
    <w:rsid w:val="00C36E7C"/>
    <w:rsid w:val="00C84163"/>
    <w:rsid w:val="00C9444D"/>
    <w:rsid w:val="00C965BB"/>
    <w:rsid w:val="00CC2416"/>
    <w:rsid w:val="00CE0854"/>
    <w:rsid w:val="00D34F96"/>
    <w:rsid w:val="00D87F3A"/>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2015-01-02T04:08:00Z</dcterms:created>
  <dcterms:modified xsi:type="dcterms:W3CDTF">2015-01-02T04:08:00Z</dcterms:modified>
</cp:coreProperties>
</file>