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2"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11307"/>
      </w:tblGrid>
      <w:tr w:rsidR="004F6375" w:rsidRPr="004F6375" w:rsidTr="004F6375">
        <w:trPr>
          <w:tblCellSpacing w:w="15" w:type="dxa"/>
        </w:trPr>
        <w:tc>
          <w:tcPr>
            <w:tcW w:w="4973" w:type="pct"/>
            <w:shd w:val="clear" w:color="auto" w:fill="F9FAFC"/>
            <w:vAlign w:val="center"/>
            <w:hideMark/>
          </w:tcPr>
          <w:p w:rsidR="004F6375" w:rsidRPr="004F6375" w:rsidRDefault="004F6375" w:rsidP="004F6375">
            <w:pPr>
              <w:spacing w:before="120" w:after="120" w:line="360" w:lineRule="auto"/>
              <w:jc w:val="center"/>
              <w:rPr>
                <w:color w:val="222222"/>
                <w:sz w:val="28"/>
                <w:szCs w:val="28"/>
              </w:rPr>
            </w:pPr>
            <w:bookmarkStart w:id="0" w:name="_GoBack"/>
            <w:bookmarkEnd w:id="0"/>
            <w:r w:rsidRPr="004F6375">
              <w:rPr>
                <w:b/>
                <w:bCs/>
                <w:color w:val="222222"/>
                <w:sz w:val="28"/>
                <w:szCs w:val="28"/>
              </w:rPr>
              <w:t>NGHỊ ĐỊNH</w:t>
            </w:r>
          </w:p>
          <w:p w:rsidR="004F6375" w:rsidRPr="004F6375" w:rsidRDefault="004F6375" w:rsidP="004F6375">
            <w:pPr>
              <w:spacing w:before="120" w:after="120" w:line="360" w:lineRule="auto"/>
              <w:jc w:val="center"/>
              <w:rPr>
                <w:color w:val="222222"/>
                <w:sz w:val="28"/>
                <w:szCs w:val="28"/>
              </w:rPr>
            </w:pPr>
            <w:r w:rsidRPr="004F6375">
              <w:rPr>
                <w:b/>
                <w:bCs/>
                <w:color w:val="222222"/>
                <w:sz w:val="28"/>
                <w:szCs w:val="28"/>
              </w:rPr>
              <w:t>Quy định mức lương tối thiểu vùng đối với người lao động làm việc ở doanh nghiệp, hợp tác xã, tổ hợp tác, trang trại,hộ gia đình, cá nhân và các cơ quan, tổ chức có thuê mướn lao động theo hợp đồng lao động</w:t>
            </w:r>
          </w:p>
          <w:p w:rsidR="004F6375" w:rsidRPr="004F6375" w:rsidRDefault="004F6375" w:rsidP="004F6375">
            <w:pPr>
              <w:spacing w:before="120" w:after="120" w:line="360" w:lineRule="auto"/>
              <w:jc w:val="both"/>
              <w:rPr>
                <w:color w:val="222222"/>
                <w:sz w:val="28"/>
                <w:szCs w:val="28"/>
              </w:rPr>
            </w:pPr>
            <w:r w:rsidRPr="004F6375">
              <w:rPr>
                <w:b/>
                <w:bCs/>
                <w:color w:val="222222"/>
                <w:sz w:val="28"/>
                <w:szCs w:val="28"/>
              </w:rPr>
              <w:t>_______________________________</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 </w:t>
            </w:r>
          </w:p>
          <w:p w:rsidR="004F6375" w:rsidRPr="004F6375" w:rsidRDefault="004F6375" w:rsidP="004F6375">
            <w:pPr>
              <w:spacing w:before="120" w:after="120" w:line="360" w:lineRule="auto"/>
              <w:jc w:val="both"/>
              <w:rPr>
                <w:color w:val="222222"/>
                <w:sz w:val="28"/>
                <w:szCs w:val="28"/>
              </w:rPr>
            </w:pPr>
            <w:r w:rsidRPr="004F6375">
              <w:rPr>
                <w:i/>
                <w:iCs/>
                <w:color w:val="222222"/>
                <w:sz w:val="28"/>
                <w:szCs w:val="28"/>
              </w:rPr>
              <w:t>Căn cứ Luật Tổ chức Chính phủ ngày 25 tháng 12 năm 2001;</w:t>
            </w:r>
          </w:p>
          <w:p w:rsidR="004F6375" w:rsidRPr="004F6375" w:rsidRDefault="004F6375" w:rsidP="004F6375">
            <w:pPr>
              <w:spacing w:before="120" w:after="120" w:line="360" w:lineRule="auto"/>
              <w:jc w:val="both"/>
              <w:rPr>
                <w:color w:val="222222"/>
                <w:sz w:val="28"/>
                <w:szCs w:val="28"/>
              </w:rPr>
            </w:pPr>
            <w:r w:rsidRPr="004F6375">
              <w:rPr>
                <w:i/>
                <w:iCs/>
                <w:color w:val="222222"/>
                <w:sz w:val="28"/>
                <w:szCs w:val="28"/>
              </w:rPr>
              <w:t>Căn cứ Bộ luật Lao động ngày 18 tháng 6 năm 2012;</w:t>
            </w:r>
          </w:p>
          <w:p w:rsidR="004F6375" w:rsidRPr="004F6375" w:rsidRDefault="004F6375" w:rsidP="004F6375">
            <w:pPr>
              <w:spacing w:before="120" w:after="120" w:line="360" w:lineRule="auto"/>
              <w:jc w:val="both"/>
              <w:rPr>
                <w:color w:val="222222"/>
                <w:sz w:val="28"/>
                <w:szCs w:val="28"/>
              </w:rPr>
            </w:pPr>
            <w:r w:rsidRPr="004F6375">
              <w:rPr>
                <w:i/>
                <w:iCs/>
                <w:color w:val="222222"/>
                <w:sz w:val="28"/>
                <w:szCs w:val="28"/>
              </w:rPr>
              <w:t>Căn cứ Luật Doanh nghiệp ngày 29 tháng 11 năm 2005;</w:t>
            </w:r>
          </w:p>
          <w:p w:rsidR="004F6375" w:rsidRPr="004F6375" w:rsidRDefault="004F6375" w:rsidP="004F6375">
            <w:pPr>
              <w:spacing w:before="120" w:after="120" w:line="360" w:lineRule="auto"/>
              <w:jc w:val="both"/>
              <w:rPr>
                <w:color w:val="222222"/>
                <w:sz w:val="28"/>
                <w:szCs w:val="28"/>
              </w:rPr>
            </w:pPr>
            <w:r w:rsidRPr="004F6375">
              <w:rPr>
                <w:i/>
                <w:iCs/>
                <w:color w:val="222222"/>
                <w:sz w:val="28"/>
                <w:szCs w:val="28"/>
              </w:rPr>
              <w:t>Theo đề nghị của Bộ trưởng Bộ Lao động - Thương binh và Xã hội,</w:t>
            </w:r>
          </w:p>
          <w:p w:rsidR="004F6375" w:rsidRPr="004F6375" w:rsidRDefault="004F6375" w:rsidP="004F6375">
            <w:pPr>
              <w:spacing w:before="120" w:after="120" w:line="360" w:lineRule="auto"/>
              <w:jc w:val="both"/>
              <w:rPr>
                <w:color w:val="222222"/>
                <w:sz w:val="28"/>
                <w:szCs w:val="28"/>
              </w:rPr>
            </w:pPr>
            <w:r w:rsidRPr="004F6375">
              <w:rPr>
                <w:i/>
                <w:iCs/>
                <w:color w:val="222222"/>
                <w:sz w:val="28"/>
                <w:szCs w:val="28"/>
              </w:rPr>
              <w:t>Chính phủ ban hành Nghị định quy định mức lương tối thiểu vùng đối với người lao động làm việc ở doanh nghiệp, hợp tác xã, tổ hợp tác, trang trại, hộ gia đình, cá nhân và các cơ quan, tổ chức có thuê mướn lao động theo hợp đồng lao động.</w:t>
            </w:r>
          </w:p>
          <w:p w:rsidR="004F6375" w:rsidRPr="004F6375" w:rsidRDefault="004F6375" w:rsidP="004F6375">
            <w:pPr>
              <w:spacing w:before="120" w:after="120" w:line="360" w:lineRule="auto"/>
              <w:jc w:val="both"/>
              <w:rPr>
                <w:color w:val="222222"/>
                <w:sz w:val="28"/>
                <w:szCs w:val="28"/>
              </w:rPr>
            </w:pPr>
            <w:r w:rsidRPr="004F6375">
              <w:rPr>
                <w:b/>
                <w:bCs/>
                <w:color w:val="222222"/>
                <w:sz w:val="28"/>
                <w:szCs w:val="28"/>
              </w:rPr>
              <w:t>Điều </w:t>
            </w:r>
            <w:bookmarkStart w:id="1" w:name="Dieu_1"/>
            <w:bookmarkEnd w:id="1"/>
            <w:r w:rsidRPr="004F6375">
              <w:rPr>
                <w:b/>
                <w:bCs/>
                <w:color w:val="222222"/>
                <w:sz w:val="28"/>
                <w:szCs w:val="28"/>
              </w:rPr>
              <w:t>1. Phạm vi điều chỉnh</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Nghị định này quy định mức lương tối thiểu vùng áp dụng đối với người lao động làm việc ở doanh nghiệp, hợp tác xã, tổ hợp tác, trang trại, hộ gia đình, cá nhân và các cơ quan, tổ chức có thuê mướn lao động theo hợp đồng lao động theo quy định của Bộ luật Lao động.</w:t>
            </w:r>
          </w:p>
          <w:p w:rsidR="004F6375" w:rsidRPr="004F6375" w:rsidRDefault="004F6375" w:rsidP="004F6375">
            <w:pPr>
              <w:spacing w:before="120" w:after="120" w:line="360" w:lineRule="auto"/>
              <w:jc w:val="both"/>
              <w:rPr>
                <w:color w:val="222222"/>
                <w:sz w:val="28"/>
                <w:szCs w:val="28"/>
              </w:rPr>
            </w:pPr>
            <w:r w:rsidRPr="004F6375">
              <w:rPr>
                <w:b/>
                <w:bCs/>
                <w:color w:val="222222"/>
                <w:sz w:val="28"/>
                <w:szCs w:val="28"/>
              </w:rPr>
              <w:t>Điều </w:t>
            </w:r>
            <w:bookmarkStart w:id="2" w:name="Dieu_2"/>
            <w:bookmarkEnd w:id="2"/>
            <w:r w:rsidRPr="004F6375">
              <w:rPr>
                <w:b/>
                <w:bCs/>
                <w:color w:val="222222"/>
                <w:sz w:val="28"/>
                <w:szCs w:val="28"/>
              </w:rPr>
              <w:t>2. Đối tượng áp dụng</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1. Doanh nghiệp thành lập, tổ chức quản lý và hoạt động theo Luật Doanh nghiệp (kể cả doanh nghiệp có vốn đầu tư nước ngoài tại Việt Nam không đăng ký lại hoặc chưa chuyển đổi theo quy định tại Điểm a Khoản 2 và Khoản 3 Điều 170 của Luật Doanh nghiệp).</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 xml:space="preserve">2. Hợp tác xã, liên hiệp hợp tác xã, tổ hợp tác, trang trại, hộ gia đình, cá nhân và các tổ chức </w:t>
            </w:r>
            <w:r w:rsidRPr="004F6375">
              <w:rPr>
                <w:color w:val="222222"/>
                <w:sz w:val="28"/>
                <w:szCs w:val="28"/>
              </w:rPr>
              <w:lastRenderedPageBreak/>
              <w:t>khác của Việt Nam có thuê mướn lao động theo hợp đồng lao động.</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3.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Các doanh nghiệp, hợp tác xã, liên hiệp hợp tác xã, tổ hợp tác, trang trại, hộ gia đình, cơ quan, tổ chức và cá nhân quy định tại các Khoản 1, 2 và Khoản 3 Điều này sau đây gọi chung là doanh nghiệp.</w:t>
            </w:r>
          </w:p>
          <w:p w:rsidR="004F6375" w:rsidRPr="004F6375" w:rsidRDefault="004F6375" w:rsidP="004F6375">
            <w:pPr>
              <w:spacing w:before="120" w:after="120" w:line="360" w:lineRule="auto"/>
              <w:jc w:val="both"/>
              <w:rPr>
                <w:color w:val="222222"/>
                <w:sz w:val="28"/>
                <w:szCs w:val="28"/>
              </w:rPr>
            </w:pPr>
            <w:r w:rsidRPr="004F6375">
              <w:rPr>
                <w:b/>
                <w:bCs/>
                <w:color w:val="222222"/>
                <w:sz w:val="28"/>
                <w:szCs w:val="28"/>
              </w:rPr>
              <w:t>Điều </w:t>
            </w:r>
            <w:bookmarkStart w:id="3" w:name="Dieu_3"/>
            <w:bookmarkEnd w:id="3"/>
            <w:r w:rsidRPr="004F6375">
              <w:rPr>
                <w:b/>
                <w:bCs/>
                <w:color w:val="222222"/>
                <w:sz w:val="28"/>
                <w:szCs w:val="28"/>
              </w:rPr>
              <w:t>3. Mức lương tối thiểu vùng</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1. Quy định mức lương tối thiểu vùng áp dụng đối với doanh nghiệp như sau:</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a) Mức 3.100.000 đồng/tháng, áp dụng đối với doanh nghiệp hoạt động trên địa bàn thuộc vùng I.</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b) Mức 2.750.000 đồng/tháng, áp dụng đối với doanh nghiệp hoạt động trên địa bàn thuộc vùng II.</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c) Mức 2.400.000 đồng/tháng, áp dụng đối với doanh nghiệp hoạt động trên địa bàn thuộc vùng III.</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d) Mức 2.150.000 đồng/tháng, áp dụng đối với doanh nghiệp hoạt động trên địa bàn thuộc vùng IV.</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2. Địa bàn thuộc vùng I, vùng II, vùng III và vùng IV được quy định tại Phụ lục ban hành kèm theo Nghị định này.</w:t>
            </w:r>
          </w:p>
          <w:p w:rsidR="004F6375" w:rsidRPr="004F6375" w:rsidRDefault="004F6375" w:rsidP="004F6375">
            <w:pPr>
              <w:spacing w:before="120" w:after="120" w:line="360" w:lineRule="auto"/>
              <w:jc w:val="both"/>
              <w:rPr>
                <w:color w:val="222222"/>
                <w:sz w:val="28"/>
                <w:szCs w:val="28"/>
              </w:rPr>
            </w:pPr>
            <w:r w:rsidRPr="004F6375">
              <w:rPr>
                <w:b/>
                <w:bCs/>
                <w:color w:val="222222"/>
                <w:sz w:val="28"/>
                <w:szCs w:val="28"/>
              </w:rPr>
              <w:t>Điều </w:t>
            </w:r>
            <w:bookmarkStart w:id="4" w:name="Dieu_4"/>
            <w:bookmarkEnd w:id="4"/>
            <w:r w:rsidRPr="004F6375">
              <w:rPr>
                <w:b/>
                <w:bCs/>
                <w:color w:val="222222"/>
                <w:sz w:val="28"/>
                <w:szCs w:val="28"/>
              </w:rPr>
              <w:t>4. Nguyên tắc áp dụng mức lương tối thiểu vùng theo địa bàn</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1. Doanh nghiệp hoạt động trên địa bàn nào thì áp dụng mức lương tối thiểu vùng quy định đối với địa bàn đó.</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 xml:space="preserve">2. Doanh nghiệp hoạt động trên các địa bàn liền nhau có mức lương tối thiểu vùng khác nhau </w:t>
            </w:r>
            <w:r w:rsidRPr="004F6375">
              <w:rPr>
                <w:color w:val="222222"/>
                <w:sz w:val="28"/>
                <w:szCs w:val="28"/>
              </w:rPr>
              <w:lastRenderedPageBreak/>
              <w:t>thì áp dụng mức lương tối thiểu vùng theo địa bàn có mức lương tối thiểu vùng cao nhất.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3. Doanh nghiệp hoạt động trong khu công nghiệp, khu chế xuất nằm trên các địa bàn có mức lương tối thiểu vùng khác nhau thì áp dụng theo địa bàn có mức lương tối thiểu vùng cao nhất.</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4.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5.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thành phố trực thuộc tỉnh được thành lập mới từ một địa bàn hoặc nhiều địa bàn thuộc vùng IV thì áp dụng mức lương tối thiểu vùng quy định đối với địa bàn thành phố trực thuộc tỉnh còn lại tại Khoản 3 Phụ lục ban hành kèm theo Nghị định này.</w:t>
            </w:r>
          </w:p>
          <w:p w:rsidR="004F6375" w:rsidRPr="004F6375" w:rsidRDefault="004F6375" w:rsidP="004F6375">
            <w:pPr>
              <w:spacing w:before="120" w:after="120" w:line="360" w:lineRule="auto"/>
              <w:jc w:val="both"/>
              <w:rPr>
                <w:color w:val="222222"/>
                <w:sz w:val="28"/>
                <w:szCs w:val="28"/>
              </w:rPr>
            </w:pPr>
            <w:r w:rsidRPr="004F6375">
              <w:rPr>
                <w:b/>
                <w:bCs/>
                <w:color w:val="222222"/>
                <w:sz w:val="28"/>
                <w:szCs w:val="28"/>
              </w:rPr>
              <w:t>Điều </w:t>
            </w:r>
            <w:bookmarkStart w:id="5" w:name="Dieu_5"/>
            <w:bookmarkEnd w:id="5"/>
            <w:r w:rsidRPr="004F6375">
              <w:rPr>
                <w:b/>
                <w:bCs/>
                <w:color w:val="222222"/>
                <w:sz w:val="28"/>
                <w:szCs w:val="28"/>
              </w:rPr>
              <w:t>5. Áp dụng mức lương tối thiểu vùng</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đã thỏa thuận phải bảo đảm:</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a) Không thấp hơn mức lương tối thiểu vùng đối với người lao động chưa qua đào tạo làm công việc giản đơn nhất;</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b) Cao hơn ít nhất 7% so với mức lương tối thiểu vùng đối với người lao động đã qua học nghề quy định tại Khoản 2 Điều này.</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lastRenderedPageBreak/>
              <w:t>2. Người lao động đã qua học nghề, bao gồm:</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a) Người đã được cấp chứng chỉ nghề, bằng nghề, bằng trung học nghề theo quy định tại Nghị định số 90/CP ngày 24 tháng 11 năm 1993 của Chính phủ quy định cơ cấu khung của hệ thống giáo dục quốc dân, hệ thống văn bằng, chứng chỉ về giáo dục và đào tạo;</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b) Người đã được cấp chứng chỉ nghề, bằng nghề theo quy định tại Luật Giáo dục năm 1998, Luật Giáo dục năm 2005 và chứng chỉ kỹ năng nghề quốc gia theo quy định tại Luật Việc làm;</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d) Người đã được cấp văn bằng, chứng chỉ nghề của cơ sở đào tạo nước ngoài;</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đ) Người đã được doanh nghiệp đào tạo nghề hoặc tự học nghề và được doanh nghiệp kiểm tra, bố trí làm công việc đòi hỏi phải qua đào tạo nghề.</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3. Căn cứ vào mức lương tối thiểu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đảm 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 xml:space="preserve">4. Khi thực hiện mức lương tối thiểu vùng quy định tại Nghị định này, doanh nghiệp không được xóa 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w:t>
            </w:r>
            <w:r w:rsidRPr="004F6375">
              <w:rPr>
                <w:color w:val="222222"/>
                <w:sz w:val="28"/>
                <w:szCs w:val="28"/>
              </w:rPr>
              <w:lastRenderedPageBreak/>
              <w:t>luật lao động. Các khoản phụ cấp, trợ cấp, tiền thưởng do doanh nghiệp quy định thì thực hiện theo thỏa thuận trong hợp đồng lao động, thỏa ước lao động tập thể hoặc trong quy chế của doanh nghiệp.</w:t>
            </w:r>
          </w:p>
          <w:p w:rsidR="004F6375" w:rsidRPr="004F6375" w:rsidRDefault="004F6375" w:rsidP="004F6375">
            <w:pPr>
              <w:spacing w:before="120" w:after="120" w:line="360" w:lineRule="auto"/>
              <w:jc w:val="both"/>
              <w:rPr>
                <w:color w:val="222222"/>
                <w:sz w:val="28"/>
                <w:szCs w:val="28"/>
              </w:rPr>
            </w:pPr>
            <w:r w:rsidRPr="004F6375">
              <w:rPr>
                <w:b/>
                <w:bCs/>
                <w:color w:val="222222"/>
                <w:sz w:val="28"/>
                <w:szCs w:val="28"/>
              </w:rPr>
              <w:t>Điều </w:t>
            </w:r>
            <w:bookmarkStart w:id="6" w:name="Dieu_6"/>
            <w:bookmarkEnd w:id="6"/>
            <w:r w:rsidRPr="004F6375">
              <w:rPr>
                <w:b/>
                <w:bCs/>
                <w:color w:val="222222"/>
                <w:sz w:val="28"/>
                <w:szCs w:val="28"/>
              </w:rPr>
              <w:t>6. Hiệu lực thi hành</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1. Nghị định này có hiệu lực thi hành kể từ ngày 01 tháng 01 năm 2015. Nghị định số 182/2013/NĐ-CP ngày 14 tháng 11 năm 2013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thi hành kể từ ngày Nghị định này có hiệu lực thi hành.</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vùng theo quy định tại Nghị định này; trình Chính phủ xem xét, điều chỉnh mức lương tối thiểu vùng theo quy định.</w:t>
            </w:r>
          </w:p>
          <w:p w:rsidR="004F6375" w:rsidRPr="004F6375" w:rsidRDefault="004F6375" w:rsidP="004F6375">
            <w:pPr>
              <w:spacing w:before="120" w:after="120" w:line="360" w:lineRule="auto"/>
              <w:jc w:val="both"/>
              <w:rPr>
                <w:color w:val="222222"/>
                <w:sz w:val="28"/>
                <w:szCs w:val="28"/>
              </w:rPr>
            </w:pPr>
            <w:r w:rsidRPr="004F6375">
              <w:rPr>
                <w:color w:val="222222"/>
                <w:sz w:val="28"/>
                <w:szCs w:val="28"/>
              </w:rPr>
              <w:t>3. Các Bộ trưởng, Thủ trưởng cơ quan ngang Bộ, Thủ trưởng cơ quan thuộc Chính phủ, Chủ tịch Ủy ban nhân dân tỉnh, thành phố trực thuộc Trung ương và các cơ quan, doanh nghiệp chịu trách nhiệm thi hành Nghị định này./.</w:t>
            </w:r>
          </w:p>
        </w:tc>
      </w:tr>
      <w:tr w:rsidR="004F6375" w:rsidRPr="004F6375" w:rsidTr="004F6375">
        <w:trPr>
          <w:tblCellSpacing w:w="15" w:type="dxa"/>
        </w:trPr>
        <w:tc>
          <w:tcPr>
            <w:tcW w:w="4973" w:type="pct"/>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563"/>
            </w:tblGrid>
            <w:tr w:rsidR="004F6375" w:rsidRPr="004F6375" w:rsidTr="001235AD">
              <w:trPr>
                <w:tblCellSpacing w:w="15" w:type="dxa"/>
                <w:jc w:val="right"/>
              </w:trPr>
              <w:tc>
                <w:tcPr>
                  <w:tcW w:w="5000" w:type="pct"/>
                  <w:vAlign w:val="center"/>
                  <w:hideMark/>
                </w:tcPr>
                <w:p w:rsidR="004F6375" w:rsidRPr="004F6375" w:rsidRDefault="004F6375" w:rsidP="004F6375">
                  <w:pPr>
                    <w:spacing w:before="120" w:after="120" w:line="360" w:lineRule="auto"/>
                    <w:jc w:val="both"/>
                    <w:rPr>
                      <w:sz w:val="28"/>
                      <w:szCs w:val="28"/>
                    </w:rPr>
                  </w:pPr>
                  <w:r w:rsidRPr="004F6375">
                    <w:rPr>
                      <w:b/>
                      <w:bCs/>
                      <w:sz w:val="28"/>
                      <w:szCs w:val="28"/>
                    </w:rPr>
                    <w:lastRenderedPageBreak/>
                    <w:t>TM. CHÍNH PHỦ</w:t>
                  </w:r>
                </w:p>
              </w:tc>
            </w:tr>
            <w:tr w:rsidR="004F6375" w:rsidRPr="004F6375" w:rsidTr="001235AD">
              <w:trPr>
                <w:tblCellSpacing w:w="15" w:type="dxa"/>
                <w:jc w:val="right"/>
              </w:trPr>
              <w:tc>
                <w:tcPr>
                  <w:tcW w:w="5000" w:type="pct"/>
                  <w:vAlign w:val="center"/>
                  <w:hideMark/>
                </w:tcPr>
                <w:p w:rsidR="004F6375" w:rsidRPr="004F6375" w:rsidRDefault="004F6375" w:rsidP="004F6375">
                  <w:pPr>
                    <w:spacing w:before="120" w:after="120" w:line="360" w:lineRule="auto"/>
                    <w:jc w:val="both"/>
                    <w:rPr>
                      <w:sz w:val="28"/>
                      <w:szCs w:val="28"/>
                    </w:rPr>
                  </w:pPr>
                  <w:r w:rsidRPr="004F6375">
                    <w:rPr>
                      <w:b/>
                      <w:bCs/>
                      <w:sz w:val="28"/>
                      <w:szCs w:val="28"/>
                    </w:rPr>
                    <w:t>THỦ TƯỚNG</w:t>
                  </w:r>
                </w:p>
              </w:tc>
            </w:tr>
            <w:tr w:rsidR="004F6375" w:rsidRPr="004F6375" w:rsidTr="001235AD">
              <w:trPr>
                <w:tblCellSpacing w:w="15" w:type="dxa"/>
                <w:jc w:val="right"/>
              </w:trPr>
              <w:tc>
                <w:tcPr>
                  <w:tcW w:w="5000" w:type="pct"/>
                  <w:vAlign w:val="center"/>
                  <w:hideMark/>
                </w:tcPr>
                <w:p w:rsidR="004F6375" w:rsidRPr="004F6375" w:rsidRDefault="004F6375" w:rsidP="004F6375">
                  <w:pPr>
                    <w:spacing w:before="120" w:after="120" w:line="360" w:lineRule="auto"/>
                    <w:jc w:val="both"/>
                    <w:rPr>
                      <w:sz w:val="28"/>
                      <w:szCs w:val="28"/>
                    </w:rPr>
                  </w:pPr>
                  <w:r w:rsidRPr="004F6375">
                    <w:rPr>
                      <w:i/>
                      <w:iCs/>
                      <w:sz w:val="28"/>
                      <w:szCs w:val="28"/>
                    </w:rPr>
                    <w:t>(Đã ký)</w:t>
                  </w:r>
                </w:p>
              </w:tc>
            </w:tr>
            <w:tr w:rsidR="004F6375" w:rsidRPr="004F6375" w:rsidTr="001235AD">
              <w:trPr>
                <w:tblCellSpacing w:w="15" w:type="dxa"/>
                <w:jc w:val="right"/>
              </w:trPr>
              <w:tc>
                <w:tcPr>
                  <w:tcW w:w="5000" w:type="pct"/>
                  <w:vAlign w:val="center"/>
                  <w:hideMark/>
                </w:tcPr>
                <w:p w:rsidR="004F6375" w:rsidRPr="004F6375" w:rsidRDefault="004F6375" w:rsidP="004F6375">
                  <w:pPr>
                    <w:spacing w:before="120" w:after="120" w:line="360" w:lineRule="auto"/>
                    <w:jc w:val="both"/>
                    <w:rPr>
                      <w:sz w:val="28"/>
                      <w:szCs w:val="28"/>
                    </w:rPr>
                  </w:pPr>
                  <w:r w:rsidRPr="004F6375">
                    <w:rPr>
                      <w:sz w:val="28"/>
                      <w:szCs w:val="28"/>
                    </w:rPr>
                    <w:lastRenderedPageBreak/>
                    <w:t> </w:t>
                  </w:r>
                </w:p>
              </w:tc>
            </w:tr>
            <w:tr w:rsidR="004F6375" w:rsidRPr="004F6375" w:rsidTr="001235AD">
              <w:trPr>
                <w:tblCellSpacing w:w="15" w:type="dxa"/>
                <w:jc w:val="right"/>
              </w:trPr>
              <w:tc>
                <w:tcPr>
                  <w:tcW w:w="5000" w:type="pct"/>
                  <w:vAlign w:val="center"/>
                  <w:hideMark/>
                </w:tcPr>
                <w:p w:rsidR="004F6375" w:rsidRPr="004F6375" w:rsidRDefault="004F6375" w:rsidP="004F6375">
                  <w:pPr>
                    <w:spacing w:before="120" w:after="120" w:line="360" w:lineRule="auto"/>
                    <w:jc w:val="both"/>
                    <w:rPr>
                      <w:sz w:val="28"/>
                      <w:szCs w:val="28"/>
                    </w:rPr>
                  </w:pPr>
                </w:p>
              </w:tc>
            </w:tr>
            <w:tr w:rsidR="004F6375" w:rsidRPr="004F6375" w:rsidTr="001235AD">
              <w:trPr>
                <w:tblCellSpacing w:w="15" w:type="dxa"/>
                <w:jc w:val="right"/>
              </w:trPr>
              <w:tc>
                <w:tcPr>
                  <w:tcW w:w="5000" w:type="pct"/>
                  <w:vAlign w:val="center"/>
                  <w:hideMark/>
                </w:tcPr>
                <w:p w:rsidR="004F6375" w:rsidRPr="004F6375" w:rsidRDefault="004F6375" w:rsidP="004F6375">
                  <w:pPr>
                    <w:spacing w:before="120" w:after="120" w:line="360" w:lineRule="auto"/>
                    <w:jc w:val="both"/>
                    <w:rPr>
                      <w:sz w:val="28"/>
                      <w:szCs w:val="28"/>
                    </w:rPr>
                  </w:pPr>
                  <w:r w:rsidRPr="004F6375">
                    <w:rPr>
                      <w:b/>
                      <w:bCs/>
                      <w:sz w:val="28"/>
                      <w:szCs w:val="28"/>
                    </w:rPr>
                    <w:t>Nguyễn Tấn Dũng</w:t>
                  </w:r>
                </w:p>
              </w:tc>
            </w:tr>
          </w:tbl>
          <w:p w:rsidR="004F6375" w:rsidRPr="004F6375" w:rsidRDefault="004F6375" w:rsidP="004F6375">
            <w:pPr>
              <w:spacing w:before="120" w:after="120" w:line="360" w:lineRule="auto"/>
              <w:jc w:val="both"/>
              <w:rPr>
                <w:color w:val="222222"/>
                <w:sz w:val="28"/>
                <w:szCs w:val="28"/>
              </w:rPr>
            </w:pPr>
          </w:p>
        </w:tc>
      </w:tr>
    </w:tbl>
    <w:p w:rsidR="004F6375" w:rsidRPr="004F6375" w:rsidRDefault="004F6375" w:rsidP="004F6375">
      <w:pPr>
        <w:spacing w:before="120" w:after="120" w:line="360" w:lineRule="auto"/>
        <w:jc w:val="both"/>
        <w:rPr>
          <w:sz w:val="28"/>
          <w:szCs w:val="28"/>
        </w:rPr>
      </w:pPr>
    </w:p>
    <w:p w:rsidR="003C3FB5" w:rsidRPr="004F6375" w:rsidRDefault="003C3FB5" w:rsidP="004F6375">
      <w:pPr>
        <w:spacing w:before="120" w:after="120" w:line="360" w:lineRule="auto"/>
        <w:jc w:val="both"/>
        <w:rPr>
          <w:sz w:val="28"/>
          <w:szCs w:val="28"/>
        </w:rPr>
      </w:pPr>
    </w:p>
    <w:sectPr w:rsidR="003C3FB5" w:rsidRPr="004F6375"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2B" w:rsidRDefault="0042512B" w:rsidP="00D9152F">
      <w:r>
        <w:separator/>
      </w:r>
    </w:p>
  </w:endnote>
  <w:endnote w:type="continuationSeparator" w:id="0">
    <w:p w:rsidR="0042512B" w:rsidRDefault="0042512B"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2B" w:rsidRDefault="0042512B" w:rsidP="00D9152F">
      <w:r>
        <w:separator/>
      </w:r>
    </w:p>
  </w:footnote>
  <w:footnote w:type="continuationSeparator" w:id="0">
    <w:p w:rsidR="0042512B" w:rsidRDefault="0042512B"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42512B"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2D0229"/>
    <w:rsid w:val="00315ABB"/>
    <w:rsid w:val="003423FB"/>
    <w:rsid w:val="0034766C"/>
    <w:rsid w:val="00355F35"/>
    <w:rsid w:val="003C3FB5"/>
    <w:rsid w:val="00411A50"/>
    <w:rsid w:val="0042512B"/>
    <w:rsid w:val="004D0C9E"/>
    <w:rsid w:val="004F6375"/>
    <w:rsid w:val="005018E4"/>
    <w:rsid w:val="00534881"/>
    <w:rsid w:val="00535951"/>
    <w:rsid w:val="005531CD"/>
    <w:rsid w:val="00571B54"/>
    <w:rsid w:val="005D507F"/>
    <w:rsid w:val="0062074F"/>
    <w:rsid w:val="00667F66"/>
    <w:rsid w:val="00671A17"/>
    <w:rsid w:val="00686662"/>
    <w:rsid w:val="006D66BF"/>
    <w:rsid w:val="006F55B5"/>
    <w:rsid w:val="00705FA7"/>
    <w:rsid w:val="00715417"/>
    <w:rsid w:val="00726572"/>
    <w:rsid w:val="0073387E"/>
    <w:rsid w:val="00747965"/>
    <w:rsid w:val="00757273"/>
    <w:rsid w:val="007D6C38"/>
    <w:rsid w:val="007E1005"/>
    <w:rsid w:val="00804D15"/>
    <w:rsid w:val="00817063"/>
    <w:rsid w:val="00841AFD"/>
    <w:rsid w:val="008D06F6"/>
    <w:rsid w:val="00912BDF"/>
    <w:rsid w:val="00916C35"/>
    <w:rsid w:val="0093601B"/>
    <w:rsid w:val="009545AF"/>
    <w:rsid w:val="00993721"/>
    <w:rsid w:val="00A47944"/>
    <w:rsid w:val="00AB7845"/>
    <w:rsid w:val="00AC6489"/>
    <w:rsid w:val="00B07765"/>
    <w:rsid w:val="00B12B59"/>
    <w:rsid w:val="00B244DE"/>
    <w:rsid w:val="00B5216B"/>
    <w:rsid w:val="00C26225"/>
    <w:rsid w:val="00C36E7C"/>
    <w:rsid w:val="00C84163"/>
    <w:rsid w:val="00C9444D"/>
    <w:rsid w:val="00C965BB"/>
    <w:rsid w:val="00CC2416"/>
    <w:rsid w:val="00CE0854"/>
    <w:rsid w:val="00D34F96"/>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2015-01-02T07:24:00Z</dcterms:created>
  <dcterms:modified xsi:type="dcterms:W3CDTF">2015-01-02T07:24:00Z</dcterms:modified>
</cp:coreProperties>
</file>