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9FAFC"/>
        <w:tblCellMar>
          <w:top w:w="225" w:type="dxa"/>
          <w:left w:w="225" w:type="dxa"/>
          <w:bottom w:w="225" w:type="dxa"/>
          <w:right w:w="225" w:type="dxa"/>
        </w:tblCellMar>
        <w:tblLook w:val="04A0" w:firstRow="1" w:lastRow="0" w:firstColumn="1" w:lastColumn="0" w:noHBand="0" w:noVBand="1"/>
      </w:tblPr>
      <w:tblGrid>
        <w:gridCol w:w="3741"/>
        <w:gridCol w:w="1139"/>
        <w:gridCol w:w="4480"/>
      </w:tblGrid>
      <w:tr w:rsidR="00EA1868" w:rsidRPr="00EA1868" w:rsidTr="00466889">
        <w:trPr>
          <w:trHeight w:val="1185"/>
          <w:tblCellSpacing w:w="15" w:type="dxa"/>
        </w:trPr>
        <w:tc>
          <w:tcPr>
            <w:tcW w:w="2000" w:type="pct"/>
            <w:shd w:val="clear" w:color="auto" w:fill="auto"/>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BỘ TÀI CHÍNH</w:t>
            </w:r>
          </w:p>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Số: 211/2012/TT-BTC</w:t>
            </w:r>
          </w:p>
          <w:p w:rsidR="00EA1868" w:rsidRPr="00EA1868" w:rsidRDefault="00EA1868" w:rsidP="00466889">
            <w:pPr>
              <w:rPr>
                <w:rFonts w:ascii="Times New Roman" w:eastAsia="Times New Roman" w:hAnsi="Times New Roman"/>
                <w:sz w:val="24"/>
                <w:szCs w:val="24"/>
              </w:rPr>
            </w:pPr>
          </w:p>
        </w:tc>
        <w:tc>
          <w:tcPr>
            <w:tcW w:w="600" w:type="pct"/>
            <w:shd w:val="clear" w:color="auto" w:fill="auto"/>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p>
        </w:tc>
        <w:tc>
          <w:tcPr>
            <w:tcW w:w="2400" w:type="pct"/>
            <w:shd w:val="clear" w:color="auto" w:fill="auto"/>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CỘNG HOÀ XÃ HỘI CHỦ NGHĨA VIỆT NAM</w:t>
            </w:r>
          </w:p>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Độc lập - Tự do - Hạnh phúc</w:t>
            </w:r>
          </w:p>
          <w:p w:rsidR="00EA1868" w:rsidRPr="00EA1868" w:rsidRDefault="00EA1868" w:rsidP="00466889">
            <w:pPr>
              <w:spacing w:after="0" w:line="240" w:lineRule="auto"/>
              <w:jc w:val="right"/>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rPr>
              <w:t>Hà Nội, ngày 05 tháng 12 năm 2012</w:t>
            </w:r>
            <w:r w:rsidRPr="00EA1868">
              <w:rPr>
                <w:rFonts w:ascii="Times New Roman" w:eastAsia="Times New Roman" w:hAnsi="Times New Roman"/>
                <w:color w:val="000000"/>
                <w:sz w:val="24"/>
                <w:szCs w:val="24"/>
              </w:rPr>
              <w:t>                          </w:t>
            </w:r>
          </w:p>
        </w:tc>
      </w:tr>
      <w:tr w:rsidR="00EA1868" w:rsidRPr="00EA1868" w:rsidTr="00466889">
        <w:trPr>
          <w:tblCellSpacing w:w="15" w:type="dxa"/>
        </w:trPr>
        <w:tc>
          <w:tcPr>
            <w:tcW w:w="0" w:type="auto"/>
            <w:gridSpan w:val="3"/>
            <w:shd w:val="clear" w:color="auto" w:fill="auto"/>
            <w:vAlign w:val="center"/>
            <w:hideMark/>
          </w:tcPr>
          <w:p w:rsidR="00EA1868" w:rsidRPr="00EA1868" w:rsidRDefault="00EA1868" w:rsidP="00466889">
            <w:pPr>
              <w:spacing w:after="0" w:line="240" w:lineRule="auto"/>
              <w:jc w:val="right"/>
              <w:rPr>
                <w:rFonts w:ascii="Times New Roman" w:eastAsia="Times New Roman" w:hAnsi="Times New Roman"/>
                <w:color w:val="000000"/>
                <w:sz w:val="24"/>
                <w:szCs w:val="24"/>
              </w:rPr>
            </w:pPr>
          </w:p>
        </w:tc>
      </w:tr>
      <w:tr w:rsidR="00EA1868" w:rsidRPr="00EA1868" w:rsidTr="00466889">
        <w:trPr>
          <w:tblCellSpacing w:w="15" w:type="dxa"/>
        </w:trPr>
        <w:tc>
          <w:tcPr>
            <w:tcW w:w="0" w:type="auto"/>
            <w:gridSpan w:val="3"/>
            <w:shd w:val="clear" w:color="auto" w:fill="auto"/>
            <w:vAlign w:val="center"/>
            <w:hideMark/>
          </w:tcPr>
          <w:p w:rsidR="00EA1868" w:rsidRPr="00EA1868" w:rsidRDefault="00EA1868" w:rsidP="00466889">
            <w:pPr>
              <w:spacing w:before="120" w:after="12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THÔNG TƯ</w:t>
            </w:r>
          </w:p>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Hướng dẫn thực hiện một số điều của Nghị định 90/2011/NĐ-CP</w:t>
            </w:r>
          </w:p>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ngày 14/10/2011 của Chính phủ về phát hành trái phiếu doanh nghiệp</w:t>
            </w:r>
          </w:p>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________________________</w:t>
            </w:r>
          </w:p>
          <w:p w:rsidR="00EA1868" w:rsidRPr="00EA1868" w:rsidRDefault="00EA1868" w:rsidP="00466889">
            <w:pPr>
              <w:spacing w:after="0" w:line="240" w:lineRule="auto"/>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 </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lang w:val="nl-NL"/>
              </w:rPr>
              <w:t>Căn cứ Nghị định số 118/2008/NĐ-CP ngày 27 tháng 11 năm 2008 của Chính phủ quy định chức năng, nhiệm vụ, quyền hạn và cơ cấu tổ chức của Bộ Tài chính;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lang w:val="nl-NL"/>
              </w:rPr>
              <w:t>Căn cứ Nghị định số 90/2011/NĐ-CP ngày 14 tháng 10 năm 2011 của Chính phủ về phát hành trái phiếu doanh nghiệp;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lang w:val="nl-NL"/>
              </w:rPr>
              <w:t>Căn cứ Nghị định số 58/2012/NĐ-CP ngày 20 tháng 7 năm 2012 của Chính phủ quy định chi tiết và hướng dẫn thi hành một số điều của Luật Chứng khoán và Luật sửa đổi, bổ sung một số điều của Luật Chứng khoán;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lang w:val="nl-NL"/>
              </w:rPr>
              <w:t>Theo đề nghị của Vụ trưởng Vụ Tài chính các Ngân hàng và tổ chức tài chính;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lang w:val="nl-NL"/>
              </w:rPr>
              <w:t>Bộ trưởng Bộ Tài chính ban hành Thông tư hướng dẫn thực hiện một số điều của Nghị định số 90/2011/NĐ-CP ngày 14/10/2011 của Chính phủ về phát hành trái phiếu doanh nghiệp.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Điều </w:t>
            </w:r>
            <w:bookmarkStart w:id="0" w:name="Dieu_1"/>
            <w:bookmarkEnd w:id="0"/>
            <w:r w:rsidRPr="00EA1868">
              <w:rPr>
                <w:rFonts w:ascii="Times New Roman" w:eastAsia="Times New Roman" w:hAnsi="Times New Roman"/>
                <w:b/>
                <w:bCs/>
                <w:color w:val="000000"/>
                <w:sz w:val="24"/>
                <w:szCs w:val="24"/>
                <w:lang w:val="nl-NL"/>
              </w:rPr>
              <w:t>1. Phạm vi áp dụng và đối tượng điều chỉnh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1. Thông tư này hướng dẫn thi hành một số điều của Nghị định số 90/2011/NĐ-CP ngày 14 tháng 10 năm 2011 của Chính phủ về phát hành trái phiếu doanh nghiệp (sau đây gọi tắt là Nghị định số 90/2011/NĐ-CP)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 w:name="_Toc309132732"/>
            <w:r w:rsidRPr="00EA1868">
              <w:rPr>
                <w:rFonts w:ascii="Times New Roman" w:eastAsia="Times New Roman" w:hAnsi="Times New Roman"/>
                <w:color w:val="000000"/>
                <w:sz w:val="24"/>
                <w:szCs w:val="24"/>
                <w:lang w:val="nl-NL"/>
              </w:rPr>
              <w:t>2. Đối tượng điều chỉnh của Thông tư này là các doanh nghiệp phát hành trái phiếu, các tổ chức và cá nhân liên quan đến hoạt động phát hành trái phiếu.</w:t>
            </w:r>
            <w:bookmarkEnd w:id="1"/>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lastRenderedPageBreak/>
              <w:t>3. Các doanh nghiệp thuộc lĩnh vực chứng khoán, ngân hàng khi phát hành trái phiếu phải tuân thủ theo quy định tại Khoản 3 Điều 1 Nghị định số 90/2011/NĐ-CP và thực hiện chế độ thông báo, báo cáo theo quy định tại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2" w:name="_Toc341770705"/>
            <w:r w:rsidRPr="00EA1868">
              <w:rPr>
                <w:rFonts w:ascii="Times New Roman" w:eastAsia="Times New Roman" w:hAnsi="Times New Roman"/>
                <w:b/>
                <w:bCs/>
                <w:color w:val="000000"/>
                <w:sz w:val="24"/>
                <w:szCs w:val="24"/>
                <w:lang w:val="nl-NL"/>
              </w:rPr>
              <w:t>Điều </w:t>
            </w:r>
            <w:bookmarkStart w:id="3" w:name="Dieu_2"/>
            <w:bookmarkEnd w:id="2"/>
            <w:bookmarkEnd w:id="3"/>
            <w:r w:rsidRPr="00EA1868">
              <w:rPr>
                <w:rFonts w:ascii="Times New Roman" w:eastAsia="Times New Roman" w:hAnsi="Times New Roman"/>
                <w:b/>
                <w:bCs/>
                <w:color w:val="000000"/>
                <w:sz w:val="24"/>
                <w:szCs w:val="24"/>
              </w:rPr>
              <w:t>2. Giải thích từ ngữ</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Ngoài các thuật ngữ đã được giải thích tại Điều 2 Nghị định số 90/2011/NĐ-CP, trong Thông tư này các thuật ngữ được hiểu như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1. “Kỳ hạn trái phiếu” là khoảng thời gian tính từ ngày phát hành trái phiếu đến ngày đáo hạn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2. “Ngày phát hành trái phiếu” là ngày trái phiếu bắt đầu có hiệu lực và là thời điểm làm căn cứ để xác định ngày trả gốc, lãi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3. “Lãi suất danh nghĩa của trái phiếu” là tỷ lệ phần trăm (%) giữa khoản lãi hàng năm trên mệnh giá trái phiếu mà doanh nghiệp phát hành phải thanh toán cho người sở hữu trái phiếu vào các kỳ trả lãi theo các điều kiện, điều khoản của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4.“Lợi tức phát hành trái phiếu” là lãi suất mà doanh nghiệp phát hành quyết định trên cơ sở kết quả của đợt phát hành trái phiếu và là căn cứ để tính giá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5. “Thời gian chuyển đổi trái phiếu thành cổ phiếu” là khoảng thời gian để hoàn tất việc chuyển đổi trái phiếu thành cổ phiếu của trái phiếu chuyển đổi.</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lang w:val="nl-NL"/>
              </w:rPr>
              <w:t>Điều </w:t>
            </w:r>
            <w:bookmarkStart w:id="4" w:name="Dieu_3"/>
            <w:bookmarkEnd w:id="4"/>
            <w:r w:rsidRPr="00EA1868">
              <w:rPr>
                <w:rFonts w:ascii="Times New Roman" w:eastAsia="Times New Roman" w:hAnsi="Times New Roman"/>
                <w:b/>
                <w:bCs/>
                <w:color w:val="000000"/>
                <w:sz w:val="24"/>
                <w:szCs w:val="24"/>
                <w:lang w:val="nl-NL"/>
              </w:rPr>
              <w:t>3. Điều kiện, điều khoản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1. Doanh nghiệp phải đảm bảo công bố công khai điều kiện, điều khoản của trái phiếu dự kiến phát hành theo quy định tại thị trường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2. Đối với trái phiếu phát hành tại thị trường trong nước, điều kiện, điều khoản trái phiếu phải đảm bảo các nội dung cơ bản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a) Kỳ hạn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b) Khối lượng trái phiếu dự kiến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c) Đồng tiền phát hành và thanh toán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d) Mệnh giá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đ) Hình thức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e) Loại hình trái phiếu dự kiến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e1) Đối với trái phiếu chuyển đổi, doanh nghiệp phát hành phải quy định rõ các điều kiện, điều khoản liên quan đến việc chuyển đổi trái phiếu trước khi phát hành, bao gồm:</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lastRenderedPageBreak/>
              <w:t>- Thời hạn chuyển đổi trái phiếu thành cổ phiếu, trong đó nêu rõ thời điểm và địa điểm đăng ký chuyển đổi, thời điểm bắt đầu thực hiện chuyển đổi và thời điểm kết thúc chuyển đổi;</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Nguyên tắc xác định tỷ lệ chuyển đổi trái phiếu thành cổ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Trình tự, thủ tục chuyển đổi trái phiếu thành cổ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Cam kết thực hiện nghĩa vụ của doanh nghiệp phát hành đối với chủ sở hữu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Phương án bồi thường thiệt hại cho chủ sở hữu trái phiếu trong trường hợp doanh nghiệp phát hành không thực hiện việc chuyển đổi trái phiếu thành cổ phiếu theo các điều kiện, điều khoản đã công bố tại thời điểm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e2) Đối với trái phiếu không chuyển đổi kèm theo chứng quyền, doanh nghiệp phát hành phải quy định rõ các điều kiện, điều khoản liên quan đến chứng quyền cho các nhà đầu tư, bao gồm:</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Số lượng chứng quyền phát hành kèm theo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Điều kiện chuyển nhượng chứng quyền;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Trình tự, thủ tục thực hiện quyền mua cổ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Cam kết thực hiện nghĩa vụ của doanh nghiệp phát hành đối với chủ sở hữu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Phương án bồi thường thiệt hại cho chủ sở hữu trái phiếu khi doanh nghiệp phát hành không thực hiện các điều kiện, điều khoản của chứng quyền đã công bố tại thời điểm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e3) Đối với trái phiếu có bảo đảm thanh toán, doanh nghiệp phát hành phải quy định rõ các điều khoản liên quan đến việc bảo đảm thanh toán cho nhà đầu tư, bao gồm: phương thức bảo đảm thanh toán; phạm vi bảo đảm thanh toán; trình tự, thủ tục thực hiện bảo đảm thanh toán khi doanh nghiệp phát hành không thực hiện thanh toán được; các tài liệu chứng minh việc bảo lãnh thanh toán theo quy định của pháp luật về đăng ký giao dịch bảo đảm; cam kết thực hiện nghĩa vụ của doanh nghiệp phát hành đối với chủ sở hữu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g) Phương thức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h) Quy định về việc mua lại, hoán đổi trái phiếu (nếu có).</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3. Đối với trái phiếu phát hành ra thị trường quốc tế, doanh nghiệp phát hành thực hiện công bố thông tin và điều kiện, điều khoản trái phiếu theo quy định của thị trường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5" w:name="_Toc341770707"/>
            <w:r w:rsidRPr="00EA1868">
              <w:rPr>
                <w:rFonts w:ascii="Times New Roman" w:eastAsia="Times New Roman" w:hAnsi="Times New Roman"/>
                <w:b/>
                <w:bCs/>
                <w:color w:val="000000"/>
                <w:sz w:val="24"/>
                <w:szCs w:val="24"/>
                <w:lang w:val="nl-NL"/>
              </w:rPr>
              <w:t>Điều </w:t>
            </w:r>
            <w:bookmarkStart w:id="6" w:name="Dieu_4"/>
            <w:bookmarkEnd w:id="5"/>
            <w:bookmarkEnd w:id="6"/>
            <w:r w:rsidRPr="00EA1868">
              <w:rPr>
                <w:rFonts w:ascii="Times New Roman" w:eastAsia="Times New Roman" w:hAnsi="Times New Roman"/>
                <w:b/>
                <w:bCs/>
                <w:color w:val="000000"/>
                <w:sz w:val="24"/>
                <w:szCs w:val="24"/>
              </w:rPr>
              <w:t>4. Phát hành trái phiếu cho nhiều đợt phát hành tại thị trường trong nước</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lastRenderedPageBreak/>
              <w:t>1. Doanh nghiệp phát hành trái phiếu cho nhiều đợt phát hành phải đáp ứng các điều kiện sau đây: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a) Đáp ứng điều kiện quy định tại Điều 13 của Nghị định số 90/2011/NĐ-CP.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Có nhu cầu huy động vốn làm nhiều đợt phù hợp với dự án đầu tư hoặc kế hoạch sản xuất kinh doanh của doanh nghiệp.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c) Phương án phát hành trái phiếu phải nêu rõ đối tượng, số lượng đợt phát hành, giá trị phát hành và thời gian dự kiến phát hành của từng đợt.</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2. Doanh nghiệp phát hành đáp ứng các điều kiện phát hành quy định tại Khoản 1 Điều này được phát hành trái phiếu cho nhiều đợt phát hành nhưng tối đa không quá 12 tháng. Trường hợp các đợt phát hành ở các năm tài chính khác nhau, doanh nghiệp phát hành phải làm thủ tục phát hành mới.</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3. Phê duyệt và chấp thuận phương án phát hành trái phiếu cho nhiều đợt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a) Hồ sơ phát hành trái phiếu ngoài quy định tại Khoản 2 Điều 14, Khoản 2 Điều 15 của Nghị định số 90/2011/NĐ-CP trong phương án phát hành trái phiếu còn phải nêu cụ thể đối tượng, số lượng đợt phát hành, giá trị phát hành và thời gian dự kiến phát hành của từng đợt kèm theo dự án hoặc kế hoạch sử dụng vốn làm nhiều đợt.</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Văn bản phê duyệt hoặc chấp thuận phát hành trái phiếu của cấp có thẩm quyền phải nêu rõ về số lượng đợt phát hành, giá trị từng đợt phát hành và thời gian phát hành dự kiến.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7" w:name="_Toc341770708"/>
            <w:r w:rsidRPr="00EA1868">
              <w:rPr>
                <w:rFonts w:ascii="Times New Roman" w:eastAsia="Times New Roman" w:hAnsi="Times New Roman"/>
                <w:b/>
                <w:bCs/>
                <w:color w:val="000000"/>
                <w:sz w:val="24"/>
                <w:szCs w:val="24"/>
                <w:lang w:val="nl-NL"/>
              </w:rPr>
              <w:t>Điều </w:t>
            </w:r>
            <w:bookmarkStart w:id="8" w:name="Dieu_5"/>
            <w:bookmarkEnd w:id="7"/>
            <w:bookmarkEnd w:id="8"/>
            <w:r w:rsidRPr="00EA1868">
              <w:rPr>
                <w:rFonts w:ascii="Times New Roman" w:eastAsia="Times New Roman" w:hAnsi="Times New Roman"/>
                <w:b/>
                <w:bCs/>
                <w:color w:val="000000"/>
                <w:sz w:val="24"/>
                <w:szCs w:val="24"/>
              </w:rPr>
              <w:t>5.</w:t>
            </w:r>
            <w:r w:rsidRPr="00EA1868">
              <w:rPr>
                <w:rFonts w:ascii="Times New Roman" w:eastAsia="Times New Roman" w:hAnsi="Times New Roman"/>
                <w:color w:val="000000"/>
                <w:sz w:val="24"/>
                <w:szCs w:val="24"/>
                <w:lang w:val="nl-NL"/>
              </w:rPr>
              <w:t> </w:t>
            </w:r>
            <w:r w:rsidRPr="00EA1868">
              <w:rPr>
                <w:rFonts w:ascii="Times New Roman" w:eastAsia="Times New Roman" w:hAnsi="Times New Roman"/>
                <w:b/>
                <w:bCs/>
                <w:color w:val="000000"/>
                <w:sz w:val="24"/>
                <w:szCs w:val="24"/>
                <w:lang w:val="nl-NL"/>
              </w:rPr>
              <w:t>Phương thức phát hành trái phiếu tại thị trường trong nước</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9" w:name="_Toc317250091"/>
            <w:r w:rsidRPr="00EA1868">
              <w:rPr>
                <w:rFonts w:ascii="Times New Roman" w:eastAsia="Times New Roman" w:hAnsi="Times New Roman"/>
                <w:color w:val="000000"/>
                <w:sz w:val="24"/>
                <w:szCs w:val="24"/>
                <w:lang w:val="nl-NL"/>
              </w:rPr>
              <w:t>1. Đấu thầu trái phiếu</w:t>
            </w:r>
            <w:bookmarkEnd w:id="9"/>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a) Nguyên tắc tổ chức đấu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Giữ bí mật mọi thông tin dự thầu của người đặt thầu và thông tin liên quan đến lãi suất đấu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Thực hiện công khai, minh bạch, bình đẳng về quyền lợi và nghĩa vụ các đối tượng tham gia dự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Đảm bảo tuân thủ quy định của pháp luật về việc phát hành chứng khoán riêng lẻ.</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b) Doanh nghiệp phát hành phải công bố thông tin đầy đủ liên quan đến việc đấu thầu, trong đó bao gồm các nội dung chủ yếu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Đối tượng tham gia đấu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lastRenderedPageBreak/>
              <w:t>- Thời gian, địa điểm đấu thầu, trong đó quy định rõ thời gian nhận thầu, thời gian đóng thầu, thời gian công bố kết quả đấu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Khối lượng gọi thầu;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Các điều kiện, điều khoản trái phiếu dự kiến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Hình thức đấu thầu và khối lượng gọi thầu đối với mỗi hình thức gọi thầu: cạnh tranh lãi suất, không cạnh tranh lãi suất hoặc kết hợp giữa cạnh tranh lãi suất và không cạnh tranh lãi suất;</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Nguyên tắc và quy trình xác định kết quả trúng thầu (lãi suất trúng thầu và khối lượng trúng thầu, giá trúng thầu) trong đó bao gồm cả trường hợp xác định khối lượng trúng thầu khi có nhiều nhà đầu tư đặt cùng một mức lãi suất.</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0" w:name="_Toc317250095"/>
            <w:r w:rsidRPr="00EA1868">
              <w:rPr>
                <w:rFonts w:ascii="Times New Roman" w:eastAsia="Times New Roman" w:hAnsi="Times New Roman"/>
                <w:color w:val="000000"/>
                <w:sz w:val="24"/>
                <w:szCs w:val="24"/>
                <w:lang w:val="nl-NL"/>
              </w:rPr>
              <w:t>2. Bảo lãnh phát hành trái phiếu</w:t>
            </w:r>
            <w:bookmarkEnd w:id="10"/>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1" w:name="_Toc317250096"/>
            <w:r w:rsidRPr="00EA1868">
              <w:rPr>
                <w:rFonts w:ascii="Times New Roman" w:eastAsia="Times New Roman" w:hAnsi="Times New Roman"/>
                <w:color w:val="000000"/>
                <w:sz w:val="24"/>
                <w:szCs w:val="24"/>
                <w:lang w:val="nl-NL"/>
              </w:rPr>
              <w:t>a) Đối tượng tham gia bảo lãnh phát hành</w:t>
            </w:r>
            <w:bookmarkEnd w:id="11"/>
            <w:r w:rsidRPr="00EA1868">
              <w:rPr>
                <w:rFonts w:ascii="Times New Roman" w:eastAsia="Times New Roman" w:hAnsi="Times New Roman"/>
                <w:color w:val="000000"/>
                <w:sz w:val="24"/>
                <w:szCs w:val="24"/>
                <w:lang w:val="nl-NL"/>
              </w:rPr>
              <w:t>:</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Đối tượng tham gia bảo lãnh phát hành gồm các công ty chứng khoán, tổ chức tín dụng và các định chế tài chính khác được phép cung cấp dịch vụ bảo lãnh phát hành theo quy định của pháp luật hiện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Đối với mỗi đợt phát hành, doanh nghiệp có thể lựa chọn một hoặc một số tổ chức đủ điều kiện để thực hiện bảo lãnh phát hành. Trường hợp chọn nhiều tổ chức bảo lãnh phát hành, doanh nghiệp chọn 01 tổ chức bảo lãnh chính theo các điều kiện do doanh nghiệp quyết định.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2" w:name="_Toc317250097"/>
            <w:r w:rsidRPr="00EA1868">
              <w:rPr>
                <w:rFonts w:ascii="Times New Roman" w:eastAsia="Times New Roman" w:hAnsi="Times New Roman"/>
                <w:color w:val="000000"/>
                <w:sz w:val="24"/>
                <w:szCs w:val="24"/>
                <w:lang w:val="nl-NL"/>
              </w:rPr>
              <w:t>b) Quy trình bảo lãnh phát hành</w:t>
            </w:r>
            <w:bookmarkEnd w:id="12"/>
            <w:r w:rsidRPr="00EA1868">
              <w:rPr>
                <w:rFonts w:ascii="Times New Roman" w:eastAsia="Times New Roman" w:hAnsi="Times New Roman"/>
                <w:color w:val="000000"/>
                <w:sz w:val="24"/>
                <w:szCs w:val="24"/>
                <w:lang w:val="nl-NL"/>
              </w:rPr>
              <w:t> thực hiện theo thỏa thuận giữa doanh nghiệp phát hành và tổ chức bảo lãnh phát hành theo quy định của pháp luật và thông lệ của thị trường đối với từng hình thức bảo lãnh. Doanh nghiệp phát hành phải ký hợp đồng bảo lãnh với tổ chức được lựa chọn làm bảo lãnh. Hợp đồng bảo lãnh phát hành phải bao gồm một số nội dung cơ bản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lang w:val="nl-NL"/>
              </w:rPr>
              <w:t>- Tên, địa chỉ, người đại diện hợp pháp của doanh nghiệp phát hành và của tổ chức bảo lãnh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Hình thức bảo lãnh;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Điều kiện, điều khoản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Khối lượng bảo lãnh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Quyền lợi và nghĩa vụ của các bên liên quan;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Nguyên tắc xử lý khi có tranh chấp xảy ra;</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lastRenderedPageBreak/>
              <w:t>- Phí bảo lãnh phát hành do hai bên tự thỏa thuận căn cứ vào tính chất của đợt bảo lãnh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3" w:name="_Toc317250098"/>
            <w:r w:rsidRPr="00EA1868">
              <w:rPr>
                <w:rFonts w:ascii="Times New Roman" w:eastAsia="Times New Roman" w:hAnsi="Times New Roman"/>
                <w:color w:val="000000"/>
                <w:sz w:val="24"/>
                <w:szCs w:val="24"/>
              </w:rPr>
              <w:t>3. Đại lý phát hành trái phiếu</w:t>
            </w:r>
            <w:bookmarkEnd w:id="13"/>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bookmarkStart w:id="14" w:name="_Toc317250099"/>
            <w:r w:rsidRPr="00EA1868">
              <w:rPr>
                <w:rFonts w:ascii="Times New Roman" w:eastAsia="Times New Roman" w:hAnsi="Times New Roman"/>
                <w:color w:val="000000"/>
                <w:sz w:val="24"/>
                <w:szCs w:val="24"/>
              </w:rPr>
              <w:t>a) </w:t>
            </w:r>
            <w:bookmarkEnd w:id="14"/>
            <w:r w:rsidRPr="00EA1868">
              <w:rPr>
                <w:rFonts w:ascii="Times New Roman" w:eastAsia="Times New Roman" w:hAnsi="Times New Roman"/>
                <w:color w:val="000000"/>
                <w:sz w:val="24"/>
                <w:szCs w:val="24"/>
              </w:rPr>
              <w:t>Tùy theo tính chất của việc phát hành trái phiếu, doanh nghiệp phát hành lựa chọn đại lý đủ điều kiện để làm dịch vụ đại lý phát hành hoặc đồng thời làm đại lý phát hành và đại lý thanh toán lãi, gốc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Đối tượng tham gia đại lý phát hành gồm các công ty chứng khoán, tổ chức tín dụng và các định chế tài chính khác được phép cung cấp dịch vụ đại lý phát hành theo quy định của pháp luật hiện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c) Quy trình đại lý phát hành trái phiếu thực hiện theo thoả thuận giữa doanh nghiệp phát hành và tổ chức đại lý phát hành theo quy định của pháp luật và thông lệ của thị trường.</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d) Doanh nghiệp phát hành phải ký hợp đồng đại lý phát hành với các tổ chức đại lý phát hành. Hợp đồng đại lý phát hành phải bao gồm một số nội dung cơ bản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Tên, địa chỉ, người đại diện hợp pháp của doanh nghiệp phát hành và của tổ chức đại lý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Hình thức đại lý;</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Khối lượng phát hành qua đại lý;</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Điều kiện, điều khoản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Quyền lợi và nghĩa vụ của các bên liên quan;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Nguyên tắc xử lý khi có tranh chấp xảy ra;</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Phí đại lý phát hành do hai bên tự thỏa thuận căn cứ vào tính chất của việc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4. Bán lẻ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a) Chỉ có doanh nghiệp phát hành là tổ chức tín dụng được bán trực tiếp cho nhà đầu tư trái phiếu theo quy định tại Điểm d Khoản 1 Điều 17 Nghị định số 90/2011/NĐ-CP.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Tổ chức tín dụng tuân thủ theo hướng dẫn của Ngân hàng Nhà nước Việt Nam về phương thức bán lẻ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Điều </w:t>
            </w:r>
            <w:bookmarkStart w:id="15" w:name="Dieu_6"/>
            <w:bookmarkEnd w:id="15"/>
            <w:r w:rsidRPr="00EA1868">
              <w:rPr>
                <w:rFonts w:ascii="Times New Roman" w:eastAsia="Times New Roman" w:hAnsi="Times New Roman"/>
                <w:b/>
                <w:bCs/>
                <w:color w:val="000000"/>
                <w:sz w:val="24"/>
                <w:szCs w:val="24"/>
              </w:rPr>
              <w:t>6. Thông báo và đăng ký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1. Việc thông báo và đăng ký phát hành trái phiếu tại thị trường trong nước và thị trường quốc tế theo quy định tại Điều 30 Nghị định số 90/2011/NĐ-CP được thực hiện như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lastRenderedPageBreak/>
              <w:t>a) Tối thiểu 03 (ba) ngày làm việc trước ngày tổ chức phát hành trái phiếu, doanh nghiệp phát hành phải gửi đăng ký (thông báo) cho Bộ Tài chính để Bộ Tài chính tổng hợp, theo dõi tình hình phát hành trái phiếu doanh nghiệp theo nhiệm vụ quy định tại Khoản 2 Điều 34 Nghị định số 90/2011/NĐ-CP.</w:t>
            </w:r>
            <w:bookmarkStart w:id="16" w:name="_GoBack"/>
            <w:bookmarkEnd w:id="16"/>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Nội dung thông báo phát hành trái phiếu theo Phụ lục số 1 kèm theo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c) Khi gửi thông báo phát hành trái phiếu cho Bộ Tài chính, doanh nghiệp có trách nhiệm gửi thông báo phát hành trái phiếu cho cấp có thẩm quyền phê duyệt, chấp thuận phương án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2. Việc doanh nghiệp thông báo kế hoạch phát hành trái phiếu là để Bộ Tài chính tổng hợp, theo dõi tình hình phát hành trái phiếu doanh nghiệp, không có nghĩa Bộ Tài chính chấp thuận phương án phát hành trái phiếu của doanh nghiệp hoặc xác nhận doanh nghiệp đủ điều kiện phát hành trái phiếu.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Điều </w:t>
            </w:r>
            <w:bookmarkStart w:id="17" w:name="Dieu_7"/>
            <w:bookmarkEnd w:id="17"/>
            <w:r w:rsidRPr="00EA1868">
              <w:rPr>
                <w:rFonts w:ascii="Times New Roman" w:eastAsia="Times New Roman" w:hAnsi="Times New Roman"/>
                <w:b/>
                <w:bCs/>
                <w:color w:val="000000"/>
                <w:sz w:val="24"/>
                <w:szCs w:val="24"/>
              </w:rPr>
              <w:t>7. Chế độ báo cáo</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1. Doanh nghiệp phát hành có trách nhiệm báo cáo cấp có thẩm quyền phê duyệt, chấp thuận phương án phát hành trái phiếu và Bộ Tài chính về tình hình phát hành. Trường hợp phát hành trái phiếu ra thị trường quốc tế, doanh nghiệp phải đồng gửi Ngân hàng Nhà nước Việt Nam. Thời gian và nội dung báo cáo như sau:</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a) Báo cáo kết quả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Thời gian gửi báo cáo: chậm nhất sau 15 ngày kể từ ngày hoàn tất đợt phát hành, doanh nghiệp phát hành có trách nhiệm báo cáo kết quả phát hành.</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Nội dung báo cáo theo Phụ lục số 2 kèm theo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b) Báo cáo định kỳ về tình hình thanh toán lãi, gốc cho đến khi trái phiếu đáo hạn: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Thời gian gửi báo cáo: chậm nhất sau 30 ngày kể từ ngày kết thúc quý II (đối với báo cáo 6 tháng đầu năm) và kết thúc năm (đối với báo cáo năm).</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Nội dung báo cáo định kỳ theo Phụ lục số 3 kèm theo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c) Báo cáo sau khi đến hạn thanh toán toàn bộ gốc, lãi trái phiếu: chậm nhất sau mười lăm (15) ngày, kể từ ngày đến hạn thanh toán toàn bộ gốc, lãi trái phiếu, doanh nghiệp phát hành có trách nhiệm báo cáo về tình hình thanh toán gốc, lãi trái phiếu theo Phụ lục 3 kèm theo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2. Đối với doanh nghiệp phát hành trái phiếu chuyển đổi hoặc trái phiếu kèm theo chứng quyền thực hiện chế độ báo cáo theo quy định tại Khoản 1 Điều này và quy định tại Khoản 3 Điều 32 Nghị định số 90/2011/NĐ-CP.</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lastRenderedPageBreak/>
              <w:t>3. Đối với doanh nghiệp phát hành là công ty đại chúng, ngoài việc thực hiện chế độ báo cáo theo quy định tại Khoản 1 Điều này, còn phải thực hiện báo cáo theo quy định của pháp luật về chứng khoán và thị trường chứng khoán.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4. Trường hợp doanh nghiệp đã thông báo phát hành trái phiếu theo quy định tại Điều 6 Thông tư này nhưng không thực hiện phát hành trái phiếu thì phải có văn bản báo cáo cấp có thẩm quyền phê duyệt, chấp thuận phương án phát hành trái phiếu, Bộ Tài chính. Trường hợp phát hành trái phiếu ra thị trường quốc tế, doanh nghiệp phải đồng gửi Ngân hàng Nhà nước Việt Nam.</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Điều </w:t>
            </w:r>
            <w:bookmarkStart w:id="18" w:name="Dieu_8"/>
            <w:bookmarkEnd w:id="18"/>
            <w:r w:rsidRPr="00EA1868">
              <w:rPr>
                <w:rFonts w:ascii="Times New Roman" w:eastAsia="Times New Roman" w:hAnsi="Times New Roman"/>
                <w:b/>
                <w:bCs/>
                <w:color w:val="000000"/>
                <w:sz w:val="24"/>
                <w:szCs w:val="24"/>
              </w:rPr>
              <w:t>8. Tổ chức thực hiện</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1. Thông tư này có hiệu lực thi hành kể từ ngày 20 tháng 01 năm 2013.</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2. Doanh nghiệp phát hành trái phiếu tại thời điểm trước khi Thông tư này có hiệu lực thi hành, thực hiện chế độ báo cáo định kỳ theo quy định tại Điều 7 Thông tư này.</w:t>
            </w:r>
          </w:p>
          <w:p w:rsidR="00EA1868" w:rsidRPr="00EA1868" w:rsidRDefault="00EA1868" w:rsidP="00466889">
            <w:pPr>
              <w:spacing w:before="120" w:after="120" w:line="240" w:lineRule="auto"/>
              <w:jc w:val="both"/>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3. Trong quá trình triển khai thực hiện, nếu có khó khăn, vướng mắc, các doanh nghiệp phát </w:t>
            </w:r>
            <w:r w:rsidRPr="00EA1868">
              <w:rPr>
                <w:rFonts w:ascii="Times New Roman" w:eastAsia="Times New Roman" w:hAnsi="Times New Roman"/>
                <w:color w:val="000000"/>
                <w:spacing w:val="-6"/>
                <w:sz w:val="24"/>
                <w:szCs w:val="24"/>
              </w:rPr>
              <w:t>hành trái phiếu và các đơn vị có liên quan báo cáo kịp thời về Bộ Tài chính để xem xét có hướng dẫn cụ thể./.</w:t>
            </w:r>
          </w:p>
        </w:tc>
      </w:tr>
      <w:tr w:rsidR="00EA1868" w:rsidRPr="00EA1868" w:rsidTr="00466889">
        <w:trPr>
          <w:tblCellSpacing w:w="15" w:type="dxa"/>
        </w:trPr>
        <w:tc>
          <w:tcPr>
            <w:tcW w:w="0" w:type="auto"/>
            <w:gridSpan w:val="3"/>
            <w:shd w:val="clear" w:color="auto" w:fill="F9FAFC"/>
            <w:vAlign w:val="center"/>
            <w:hideMark/>
          </w:tcPr>
          <w:tbl>
            <w:tblPr>
              <w:tblW w:w="1650" w:type="pct"/>
              <w:jc w:val="right"/>
              <w:tblCellSpacing w:w="15" w:type="dxa"/>
              <w:tblCellMar>
                <w:top w:w="15" w:type="dxa"/>
                <w:left w:w="15" w:type="dxa"/>
                <w:bottom w:w="15" w:type="dxa"/>
                <w:right w:w="15" w:type="dxa"/>
              </w:tblCellMar>
              <w:tblLook w:val="04A0" w:firstRow="1" w:lastRow="0" w:firstColumn="1" w:lastColumn="0" w:noHBand="0" w:noVBand="1"/>
            </w:tblPr>
            <w:tblGrid>
              <w:gridCol w:w="2921"/>
            </w:tblGrid>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lastRenderedPageBreak/>
                    <w:t>KT. BỘ TRƯỞNG</w:t>
                  </w:r>
                </w:p>
              </w:tc>
            </w:tr>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THỨ TRƯỞNG</w:t>
                  </w:r>
                </w:p>
              </w:tc>
            </w:tr>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i/>
                      <w:iCs/>
                      <w:color w:val="000000"/>
                      <w:sz w:val="24"/>
                      <w:szCs w:val="24"/>
                    </w:rPr>
                    <w:t>(Đã ký)</w:t>
                  </w:r>
                </w:p>
              </w:tc>
            </w:tr>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w:t>
                  </w:r>
                </w:p>
              </w:tc>
            </w:tr>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color w:val="000000"/>
                      <w:sz w:val="24"/>
                      <w:szCs w:val="24"/>
                    </w:rPr>
                    <w:t> </w:t>
                  </w:r>
                </w:p>
              </w:tc>
            </w:tr>
            <w:tr w:rsidR="00EA1868" w:rsidRPr="00EA1868" w:rsidTr="00466889">
              <w:trPr>
                <w:tblCellSpacing w:w="15" w:type="dxa"/>
                <w:jc w:val="right"/>
              </w:trPr>
              <w:tc>
                <w:tcPr>
                  <w:tcW w:w="5000" w:type="pct"/>
                  <w:vAlign w:val="center"/>
                  <w:hideMark/>
                </w:tcPr>
                <w:p w:rsidR="00EA1868" w:rsidRPr="00EA1868" w:rsidRDefault="00EA1868" w:rsidP="00466889">
                  <w:pPr>
                    <w:spacing w:after="0" w:line="240" w:lineRule="auto"/>
                    <w:jc w:val="center"/>
                    <w:rPr>
                      <w:rFonts w:ascii="Times New Roman" w:eastAsia="Times New Roman" w:hAnsi="Times New Roman"/>
                      <w:color w:val="000000"/>
                      <w:sz w:val="24"/>
                      <w:szCs w:val="24"/>
                    </w:rPr>
                  </w:pPr>
                  <w:r w:rsidRPr="00EA1868">
                    <w:rPr>
                      <w:rFonts w:ascii="Times New Roman" w:eastAsia="Times New Roman" w:hAnsi="Times New Roman"/>
                      <w:b/>
                      <w:bCs/>
                      <w:color w:val="000000"/>
                      <w:sz w:val="24"/>
                      <w:szCs w:val="24"/>
                    </w:rPr>
                    <w:t>Trần Xuân Hà</w:t>
                  </w:r>
                </w:p>
              </w:tc>
            </w:tr>
          </w:tbl>
          <w:p w:rsidR="00EA1868" w:rsidRPr="00EA1868" w:rsidRDefault="00EA1868" w:rsidP="00466889">
            <w:pPr>
              <w:spacing w:after="0" w:line="240" w:lineRule="auto"/>
              <w:jc w:val="right"/>
              <w:rPr>
                <w:rFonts w:ascii="Times New Roman" w:eastAsia="Times New Roman" w:hAnsi="Times New Roman"/>
                <w:color w:val="000000"/>
                <w:sz w:val="24"/>
                <w:szCs w:val="24"/>
              </w:rPr>
            </w:pPr>
          </w:p>
        </w:tc>
      </w:tr>
    </w:tbl>
    <w:p w:rsidR="00EA1868" w:rsidRPr="00EA1868" w:rsidRDefault="00EA1868" w:rsidP="00EA1868">
      <w:pPr>
        <w:rPr>
          <w:rFonts w:ascii="Times New Roman" w:hAnsi="Times New Roman"/>
          <w:color w:val="000000"/>
          <w:sz w:val="24"/>
          <w:szCs w:val="24"/>
        </w:rPr>
      </w:pPr>
    </w:p>
    <w:p w:rsidR="00EA1868" w:rsidRPr="00EA1868" w:rsidRDefault="00EA1868" w:rsidP="00EA1868">
      <w:pPr>
        <w:rPr>
          <w:rFonts w:ascii="Times New Roman" w:hAnsi="Times New Roman"/>
          <w:sz w:val="24"/>
          <w:szCs w:val="24"/>
        </w:rPr>
      </w:pPr>
    </w:p>
    <w:p w:rsidR="000B19DF" w:rsidRPr="00EA1868" w:rsidRDefault="00EA1868" w:rsidP="00EA1868">
      <w:pPr>
        <w:rPr>
          <w:rFonts w:ascii="Times New Roman" w:hAnsi="Times New Roman"/>
          <w:sz w:val="24"/>
          <w:szCs w:val="24"/>
        </w:rPr>
      </w:pPr>
    </w:p>
    <w:sectPr w:rsidR="000B19DF" w:rsidRPr="00EA1868">
      <w:headerReference w:type="default" r:id="rId4"/>
      <w:footerReference w:type="default" r:id="rI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71" w:rsidRPr="00A67571" w:rsidRDefault="00EA1868" w:rsidP="00A67571">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 xml:space="preserve">N </w:t>
    </w:r>
    <w:r>
      <w:rPr>
        <w:rFonts w:ascii="Times New Roman" w:hAnsi="Times New Roman"/>
        <w:b/>
        <w:color w:val="FF0000"/>
      </w:rPr>
      <w:t>24/7: 1900.61</w:t>
    </w:r>
    <w:r>
      <w:rPr>
        <w:rFonts w:ascii="Times New Roman" w:hAnsi="Times New Roman"/>
        <w:b/>
        <w:color w:val="FF0000"/>
      </w:rPr>
      <w:t>90 – 1900.6568</w:t>
    </w:r>
  </w:p>
  <w:p w:rsidR="00A67571" w:rsidRPr="00A67571" w:rsidRDefault="00EA1868">
    <w:pPr>
      <w:pStyle w:val="Footer"/>
      <w:rPr>
        <w:rFonts w:ascii="Times New Roman" w:hAnsi="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0" w:type="dxa"/>
      <w:tblInd w:w="-318" w:type="dxa"/>
      <w:tblBorders>
        <w:bottom w:val="single" w:sz="4" w:space="0" w:color="auto"/>
      </w:tblBorders>
      <w:tblLayout w:type="fixed"/>
      <w:tblLook w:val="04A0" w:firstRow="1" w:lastRow="0" w:firstColumn="1" w:lastColumn="0" w:noHBand="0" w:noVBand="1"/>
    </w:tblPr>
    <w:tblGrid>
      <w:gridCol w:w="2412"/>
      <w:gridCol w:w="8358"/>
    </w:tblGrid>
    <w:tr w:rsidR="00A67571" w:rsidRPr="00A67571" w:rsidTr="004D651E">
      <w:trPr>
        <w:trHeight w:val="1208"/>
      </w:trPr>
      <w:tc>
        <w:tcPr>
          <w:tcW w:w="2411" w:type="dxa"/>
          <w:tcBorders>
            <w:top w:val="nil"/>
            <w:left w:val="nil"/>
            <w:bottom w:val="single" w:sz="4" w:space="0" w:color="auto"/>
            <w:right w:val="nil"/>
          </w:tcBorders>
          <w:vAlign w:val="center"/>
          <w:hideMark/>
        </w:tcPr>
        <w:p w:rsidR="00A67571" w:rsidRPr="00A67571" w:rsidRDefault="00EA1868" w:rsidP="004D651E">
          <w:pPr>
            <w:rPr>
              <w:rFonts w:ascii="Times New Roman" w:hAnsi="Times New Roman"/>
              <w:b/>
              <w:sz w:val="20"/>
            </w:rPr>
          </w:pPr>
          <w:r w:rsidRPr="00A67571">
            <w:rPr>
              <w:rFonts w:ascii="Times New Roman" w:hAnsi="Times New Roman"/>
              <w:b/>
              <w:sz w:val="20"/>
            </w:rPr>
            <w:t xml:space="preserve">        </w:t>
          </w:r>
          <w:r w:rsidRPr="004D651E">
            <w:rPr>
              <w:rFonts w:ascii="Times New Roman" w:hAnsi="Times New Roman"/>
              <w:b/>
              <w:noProof/>
              <w:sz w:val="20"/>
            </w:rPr>
            <w:drawing>
              <wp:inline distT="0" distB="0" distL="0" distR="0">
                <wp:extent cx="142875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A67571" w:rsidRPr="00EF6A7E" w:rsidRDefault="00EA1868" w:rsidP="004D651E">
          <w:pPr>
            <w:pStyle w:val="Heading6"/>
            <w:spacing w:before="0"/>
            <w:rPr>
              <w:rFonts w:ascii="Times New Roman" w:hAnsi="Times New Roman"/>
              <w:sz w:val="20"/>
              <w:lang w:val="en-US" w:eastAsia="en-US"/>
            </w:rPr>
          </w:pPr>
          <w:r w:rsidRPr="00EF6A7E">
            <w:rPr>
              <w:rFonts w:ascii="Times New Roman" w:hAnsi="Times New Roman"/>
              <w:sz w:val="20"/>
              <w:lang w:val="en-US" w:eastAsia="en-US"/>
            </w:rPr>
            <w:t xml:space="preserve">CÔNG TY </w:t>
          </w:r>
          <w:r w:rsidRPr="00EF6A7E">
            <w:rPr>
              <w:rFonts w:ascii="Times New Roman" w:hAnsi="Times New Roman"/>
              <w:sz w:val="20"/>
              <w:lang w:val="en-US" w:eastAsia="en-US"/>
            </w:rPr>
            <w:t>LUẬT TNHH DƯƠNG GIA</w:t>
          </w:r>
          <w:r w:rsidRPr="00EF6A7E">
            <w:rPr>
              <w:rFonts w:ascii="Times New Roman" w:hAnsi="Times New Roman"/>
              <w:sz w:val="20"/>
              <w:lang w:val="en-US" w:eastAsia="en-US"/>
            </w:rPr>
            <w:t xml:space="preserve"> –</w:t>
          </w:r>
          <w:r w:rsidRPr="00EF6A7E">
            <w:rPr>
              <w:rFonts w:ascii="Times New Roman" w:hAnsi="Times New Roman"/>
              <w:sz w:val="20"/>
              <w:lang w:val="en-US" w:eastAsia="en-US"/>
            </w:rPr>
            <w:t xml:space="preserve"> DUONG GIA LAW </w:t>
          </w:r>
          <w:r w:rsidRPr="00EF6A7E">
            <w:rPr>
              <w:rFonts w:ascii="Times New Roman" w:hAnsi="Times New Roman"/>
              <w:sz w:val="20"/>
              <w:lang w:val="en-US" w:eastAsia="en-US"/>
            </w:rPr>
            <w:t xml:space="preserve">COMPANY LIMITED </w:t>
          </w:r>
        </w:p>
        <w:p w:rsidR="00A67571" w:rsidRPr="00A67571" w:rsidRDefault="00EA1868" w:rsidP="004D651E">
          <w:pPr>
            <w:rPr>
              <w:rFonts w:ascii="Times New Roman" w:hAnsi="Times New Roman"/>
              <w:sz w:val="20"/>
            </w:rPr>
          </w:pPr>
          <w:r w:rsidRPr="00A67571">
            <w:rPr>
              <w:rFonts w:ascii="Times New Roman" w:hAnsi="Times New Roman"/>
              <w:sz w:val="20"/>
            </w:rPr>
            <w:t>No 2305, VNT Tower, 19  Nguyen Trai Street, Thanh Xuan District, Hanoi City, Viet Nam</w:t>
          </w:r>
        </w:p>
        <w:p w:rsidR="00A67571" w:rsidRPr="00A67571" w:rsidRDefault="00EA1868" w:rsidP="004D651E">
          <w:pPr>
            <w:rPr>
              <w:rFonts w:ascii="Times New Roman" w:hAnsi="Times New Roman"/>
              <w:sz w:val="20"/>
            </w:rPr>
          </w:pPr>
          <w:r w:rsidRPr="00A67571">
            <w:rPr>
              <w:rFonts w:ascii="Times New Roman" w:hAnsi="Times New Roman"/>
              <w:sz w:val="20"/>
            </w:rPr>
            <w:t>Tel:</w:t>
          </w:r>
          <w:r>
            <w:rPr>
              <w:rFonts w:ascii="Times New Roman" w:hAnsi="Times New Roman"/>
              <w:sz w:val="20"/>
            </w:rPr>
            <w:t xml:space="preserve">   190</w:t>
          </w:r>
          <w:r>
            <w:rPr>
              <w:rFonts w:ascii="Times New Roman" w:hAnsi="Times New Roman"/>
              <w:sz w:val="20"/>
            </w:rPr>
            <w:t xml:space="preserve">0.6190 – 1900.6568      </w:t>
          </w:r>
          <w:r w:rsidRPr="00A67571">
            <w:rPr>
              <w:rFonts w:ascii="Times New Roman" w:hAnsi="Times New Roman"/>
              <w:sz w:val="20"/>
            </w:rPr>
            <w:t xml:space="preserve">  Fax: 04.3562.7716</w:t>
          </w:r>
        </w:p>
        <w:p w:rsidR="00A67571" w:rsidRPr="00A67571" w:rsidRDefault="00EA1868" w:rsidP="004D651E">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A67571" w:rsidRPr="00A67571" w:rsidRDefault="00EA1868">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68"/>
    <w:rsid w:val="00346BF1"/>
    <w:rsid w:val="00A36367"/>
    <w:rsid w:val="00EA1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0660B-F57C-4402-B035-1076B3EA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868"/>
    <w:pPr>
      <w:spacing w:after="200" w:line="276" w:lineRule="auto"/>
    </w:pPr>
    <w:rPr>
      <w:rFonts w:ascii="Calibri" w:eastAsia="Calibri" w:hAnsi="Calibri" w:cs="Times New Roman"/>
    </w:rPr>
  </w:style>
  <w:style w:type="paragraph" w:styleId="Heading6">
    <w:name w:val="heading 6"/>
    <w:basedOn w:val="Normal"/>
    <w:next w:val="Normal"/>
    <w:link w:val="Heading6Char"/>
    <w:semiHidden/>
    <w:unhideWhenUsed/>
    <w:qFormat/>
    <w:rsid w:val="00EA1868"/>
    <w:pPr>
      <w:spacing w:before="240" w:after="60" w:line="240" w:lineRule="auto"/>
      <w:outlineLvl w:val="5"/>
    </w:pPr>
    <w:rPr>
      <w:rFonts w:eastAsia="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A1868"/>
  </w:style>
  <w:style w:type="paragraph" w:styleId="NormalWeb">
    <w:name w:val="Normal (Web)"/>
    <w:basedOn w:val="Normal"/>
    <w:uiPriority w:val="99"/>
    <w:semiHidden/>
    <w:unhideWhenUsed/>
    <w:rsid w:val="00EA1868"/>
    <w:pPr>
      <w:spacing w:before="100" w:beforeAutospacing="1" w:after="100" w:afterAutospacing="1" w:line="240" w:lineRule="auto"/>
    </w:pPr>
    <w:rPr>
      <w:rFonts w:ascii="Times New Roman" w:eastAsia="Times New Roman" w:hAnsi="Times New Roman"/>
      <w:sz w:val="24"/>
      <w:szCs w:val="24"/>
    </w:rPr>
  </w:style>
  <w:style w:type="character" w:customStyle="1" w:styleId="Heading6Char">
    <w:name w:val="Heading 6 Char"/>
    <w:basedOn w:val="DefaultParagraphFont"/>
    <w:link w:val="Heading6"/>
    <w:semiHidden/>
    <w:rsid w:val="00EA1868"/>
    <w:rPr>
      <w:rFonts w:ascii="Calibri" w:eastAsia="Times New Roman" w:hAnsi="Calibri" w:cs="Times New Roman"/>
      <w:b/>
      <w:bCs/>
      <w:lang w:val="x-none" w:eastAsia="x-none"/>
    </w:rPr>
  </w:style>
  <w:style w:type="character" w:styleId="Hyperlink">
    <w:name w:val="Hyperlink"/>
    <w:uiPriority w:val="99"/>
    <w:unhideWhenUsed/>
    <w:rsid w:val="00EA1868"/>
    <w:rPr>
      <w:color w:val="0000FF"/>
      <w:u w:val="single"/>
    </w:rPr>
  </w:style>
  <w:style w:type="paragraph" w:styleId="Header">
    <w:name w:val="header"/>
    <w:basedOn w:val="Normal"/>
    <w:link w:val="HeaderChar"/>
    <w:unhideWhenUsed/>
    <w:rsid w:val="00EA1868"/>
    <w:pPr>
      <w:tabs>
        <w:tab w:val="center" w:pos="4680"/>
        <w:tab w:val="right" w:pos="9360"/>
      </w:tabs>
    </w:pPr>
    <w:rPr>
      <w:lang w:val="x-none" w:eastAsia="x-none"/>
    </w:rPr>
  </w:style>
  <w:style w:type="character" w:customStyle="1" w:styleId="HeaderChar">
    <w:name w:val="Header Char"/>
    <w:basedOn w:val="DefaultParagraphFont"/>
    <w:link w:val="Header"/>
    <w:rsid w:val="00EA1868"/>
    <w:rPr>
      <w:rFonts w:ascii="Calibri" w:eastAsia="Calibri" w:hAnsi="Calibri" w:cs="Times New Roman"/>
      <w:lang w:val="x-none" w:eastAsia="x-none"/>
    </w:rPr>
  </w:style>
  <w:style w:type="paragraph" w:styleId="Footer">
    <w:name w:val="footer"/>
    <w:basedOn w:val="Normal"/>
    <w:link w:val="FooterChar"/>
    <w:uiPriority w:val="99"/>
    <w:unhideWhenUsed/>
    <w:rsid w:val="00EA186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A1868"/>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3165">
      <w:bodyDiv w:val="1"/>
      <w:marLeft w:val="0"/>
      <w:marRight w:val="0"/>
      <w:marTop w:val="0"/>
      <w:marBottom w:val="0"/>
      <w:divBdr>
        <w:top w:val="none" w:sz="0" w:space="0" w:color="auto"/>
        <w:left w:val="none" w:sz="0" w:space="0" w:color="auto"/>
        <w:bottom w:val="none" w:sz="0" w:space="0" w:color="auto"/>
        <w:right w:val="none" w:sz="0" w:space="0" w:color="auto"/>
      </w:divBdr>
      <w:divsChild>
        <w:div w:id="670833882">
          <w:marLeft w:val="0"/>
          <w:marRight w:val="0"/>
          <w:marTop w:val="0"/>
          <w:marBottom w:val="0"/>
          <w:divBdr>
            <w:top w:val="none" w:sz="0" w:space="0" w:color="auto"/>
            <w:left w:val="none" w:sz="0" w:space="0" w:color="auto"/>
            <w:bottom w:val="none" w:sz="0" w:space="0" w:color="auto"/>
            <w:right w:val="none" w:sz="0" w:space="0" w:color="auto"/>
          </w:divBdr>
        </w:div>
        <w:div w:id="1931430685">
          <w:marLeft w:val="0"/>
          <w:marRight w:val="0"/>
          <w:marTop w:val="0"/>
          <w:marBottom w:val="0"/>
          <w:divBdr>
            <w:top w:val="none" w:sz="0" w:space="0" w:color="auto"/>
            <w:left w:val="none" w:sz="0" w:space="0" w:color="auto"/>
            <w:bottom w:val="none" w:sz="0" w:space="0" w:color="auto"/>
            <w:right w:val="none" w:sz="0" w:space="0" w:color="auto"/>
          </w:divBdr>
        </w:div>
        <w:div w:id="648898080">
          <w:marLeft w:val="0"/>
          <w:marRight w:val="0"/>
          <w:marTop w:val="0"/>
          <w:marBottom w:val="0"/>
          <w:divBdr>
            <w:top w:val="none" w:sz="0" w:space="0" w:color="auto"/>
            <w:left w:val="none" w:sz="0" w:space="0" w:color="auto"/>
            <w:bottom w:val="none" w:sz="0" w:space="0" w:color="auto"/>
            <w:right w:val="none" w:sz="0" w:space="0" w:color="auto"/>
          </w:divBdr>
        </w:div>
        <w:div w:id="192047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Giangpc</dc:creator>
  <cp:keywords/>
  <dc:description/>
  <cp:lastModifiedBy>Giangpc</cp:lastModifiedBy>
  <cp:revision>1</cp:revision>
  <dcterms:created xsi:type="dcterms:W3CDTF">2015-08-10T13:18:00Z</dcterms:created>
  <dcterms:modified xsi:type="dcterms:W3CDTF">2015-08-10T13:24:00Z</dcterms:modified>
</cp:coreProperties>
</file>