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79" w:type="dxa"/>
        <w:tblInd w:w="108" w:type="dxa"/>
        <w:tblCellMar>
          <w:left w:w="0" w:type="dxa"/>
          <w:right w:w="0" w:type="dxa"/>
        </w:tblCellMar>
        <w:tblLook w:val="04A0"/>
      </w:tblPr>
      <w:tblGrid>
        <w:gridCol w:w="3348"/>
        <w:gridCol w:w="5631"/>
      </w:tblGrid>
      <w:tr w:rsidR="005F5560" w:rsidRPr="007718E8" w:rsidTr="004273DE">
        <w:tc>
          <w:tcPr>
            <w:tcW w:w="3348" w:type="dxa"/>
            <w:tcBorders>
              <w:top w:val="nil"/>
              <w:left w:val="nil"/>
              <w:bottom w:val="nil"/>
              <w:right w:val="nil"/>
            </w:tcBorders>
            <w:shd w:val="clear" w:color="auto" w:fill="auto"/>
            <w:tcMar>
              <w:top w:w="0" w:type="dxa"/>
              <w:left w:w="108" w:type="dxa"/>
              <w:bottom w:w="0" w:type="dxa"/>
              <w:right w:w="108" w:type="dxa"/>
            </w:tcMar>
            <w:hideMark/>
          </w:tcPr>
          <w:p w:rsidR="005F5560" w:rsidRPr="007718E8" w:rsidRDefault="005F5560" w:rsidP="004273DE">
            <w:pPr>
              <w:spacing w:before="100" w:beforeAutospacing="1" w:after="100" w:afterAutospacing="1" w:line="360" w:lineRule="auto"/>
              <w:rPr>
                <w:rFonts w:ascii="Times New Roman" w:eastAsia="Times New Roman" w:hAnsi="Times New Roman"/>
                <w:color w:val="000000"/>
                <w:sz w:val="24"/>
                <w:szCs w:val="24"/>
              </w:rPr>
            </w:pPr>
            <w:r w:rsidRPr="007718E8">
              <w:rPr>
                <w:rFonts w:ascii="Times New Roman" w:eastAsia="Times New Roman" w:hAnsi="Times New Roman"/>
                <w:b/>
                <w:bCs/>
                <w:color w:val="000000"/>
                <w:sz w:val="24"/>
                <w:szCs w:val="24"/>
              </w:rPr>
              <w:t>BỘ TÀI CHÍNH</w:t>
            </w:r>
            <w:r w:rsidRPr="007718E8">
              <w:rPr>
                <w:rFonts w:ascii="Times New Roman" w:eastAsia="Times New Roman" w:hAnsi="Times New Roman"/>
                <w:b/>
                <w:bCs/>
                <w:color w:val="000000"/>
                <w:sz w:val="24"/>
                <w:szCs w:val="24"/>
              </w:rPr>
              <w:br/>
              <w:t>-----------------</w:t>
            </w:r>
          </w:p>
          <w:p w:rsidR="005F5560" w:rsidRPr="007718E8" w:rsidRDefault="005F5560" w:rsidP="004273DE">
            <w:pPr>
              <w:spacing w:before="100" w:beforeAutospacing="1" w:after="100" w:afterAutospacing="1" w:line="360" w:lineRule="auto"/>
              <w:rPr>
                <w:rFonts w:ascii="Times New Roman" w:eastAsia="Times New Roman" w:hAnsi="Times New Roman"/>
                <w:color w:val="000000"/>
                <w:sz w:val="24"/>
                <w:szCs w:val="24"/>
              </w:rPr>
            </w:pPr>
            <w:r w:rsidRPr="007718E8">
              <w:rPr>
                <w:rFonts w:ascii="Times New Roman" w:eastAsia="Times New Roman" w:hAnsi="Times New Roman"/>
                <w:color w:val="000000"/>
                <w:sz w:val="24"/>
                <w:szCs w:val="24"/>
              </w:rPr>
              <w:t>Số:176/2011/TT-BTC</w:t>
            </w:r>
          </w:p>
        </w:tc>
        <w:tc>
          <w:tcPr>
            <w:tcW w:w="5631" w:type="dxa"/>
            <w:tcBorders>
              <w:top w:val="nil"/>
              <w:left w:val="nil"/>
              <w:bottom w:val="nil"/>
              <w:right w:val="nil"/>
            </w:tcBorders>
            <w:shd w:val="clear" w:color="auto" w:fill="auto"/>
            <w:tcMar>
              <w:top w:w="0" w:type="dxa"/>
              <w:left w:w="108" w:type="dxa"/>
              <w:bottom w:w="0" w:type="dxa"/>
              <w:right w:w="108" w:type="dxa"/>
            </w:tcMar>
            <w:hideMark/>
          </w:tcPr>
          <w:p w:rsidR="005F5560" w:rsidRPr="007718E8" w:rsidRDefault="005F5560" w:rsidP="004273DE">
            <w:pPr>
              <w:spacing w:before="100" w:beforeAutospacing="1" w:after="100" w:afterAutospacing="1" w:line="360" w:lineRule="auto"/>
              <w:jc w:val="center"/>
              <w:rPr>
                <w:rFonts w:ascii="Times New Roman" w:eastAsia="Times New Roman" w:hAnsi="Times New Roman"/>
                <w:color w:val="000000"/>
                <w:sz w:val="24"/>
                <w:szCs w:val="24"/>
              </w:rPr>
            </w:pPr>
            <w:r w:rsidRPr="007718E8">
              <w:rPr>
                <w:rFonts w:ascii="Times New Roman" w:eastAsia="Times New Roman" w:hAnsi="Times New Roman"/>
                <w:b/>
                <w:bCs/>
                <w:color w:val="000000"/>
                <w:sz w:val="24"/>
                <w:szCs w:val="24"/>
              </w:rPr>
              <w:t>CỘNG HÒA XÃ HỘI CHỦ NGHĨA VIỆT NAM</w:t>
            </w:r>
            <w:r w:rsidRPr="007718E8">
              <w:rPr>
                <w:rFonts w:ascii="Times New Roman" w:eastAsia="Times New Roman" w:hAnsi="Times New Roman"/>
                <w:b/>
                <w:bCs/>
                <w:color w:val="000000"/>
                <w:sz w:val="24"/>
                <w:szCs w:val="24"/>
              </w:rPr>
              <w:br/>
              <w:t>Độc lập - Tự do - Hạnh phúc</w:t>
            </w:r>
            <w:r w:rsidRPr="007718E8">
              <w:rPr>
                <w:rFonts w:ascii="Times New Roman" w:eastAsia="Times New Roman" w:hAnsi="Times New Roman"/>
                <w:b/>
                <w:bCs/>
                <w:color w:val="000000"/>
                <w:sz w:val="24"/>
                <w:szCs w:val="24"/>
              </w:rPr>
              <w:br/>
              <w:t>----------------</w:t>
            </w:r>
          </w:p>
          <w:p w:rsidR="005F5560" w:rsidRPr="007718E8" w:rsidRDefault="005F5560" w:rsidP="004273DE">
            <w:pPr>
              <w:spacing w:before="100" w:beforeAutospacing="1" w:after="100" w:afterAutospacing="1" w:line="360" w:lineRule="auto"/>
              <w:jc w:val="center"/>
              <w:rPr>
                <w:rFonts w:ascii="Times New Roman" w:eastAsia="Times New Roman" w:hAnsi="Times New Roman"/>
                <w:color w:val="000000"/>
                <w:sz w:val="24"/>
                <w:szCs w:val="24"/>
              </w:rPr>
            </w:pPr>
            <w:r w:rsidRPr="007718E8">
              <w:rPr>
                <w:rFonts w:ascii="Times New Roman" w:eastAsia="Times New Roman" w:hAnsi="Times New Roman"/>
                <w:i/>
                <w:iCs/>
                <w:color w:val="000000"/>
                <w:sz w:val="24"/>
                <w:szCs w:val="24"/>
              </w:rPr>
              <w:t>Hà Nội, ngày 06 tháng 12 năm 2011</w:t>
            </w:r>
          </w:p>
        </w:tc>
      </w:tr>
    </w:tbl>
    <w:p w:rsidR="005F5560" w:rsidRPr="007718E8" w:rsidRDefault="005F5560" w:rsidP="005F5560">
      <w:pPr>
        <w:spacing w:after="0" w:line="360" w:lineRule="auto"/>
        <w:jc w:val="both"/>
        <w:rPr>
          <w:rFonts w:ascii="Times New Roman" w:eastAsia="Times New Roman" w:hAnsi="Times New Roman"/>
          <w:color w:val="000000"/>
          <w:sz w:val="24"/>
          <w:szCs w:val="24"/>
        </w:rPr>
      </w:pPr>
      <w:r w:rsidRPr="007718E8">
        <w:rPr>
          <w:rFonts w:ascii="Times New Roman" w:eastAsia="Times New Roman" w:hAnsi="Times New Roman"/>
          <w:color w:val="000000"/>
          <w:sz w:val="24"/>
          <w:szCs w:val="24"/>
        </w:rPr>
        <w:t> </w:t>
      </w:r>
    </w:p>
    <w:p w:rsidR="005F5560" w:rsidRPr="007718E8" w:rsidRDefault="005F5560" w:rsidP="005F5560">
      <w:pPr>
        <w:spacing w:after="0" w:line="360" w:lineRule="auto"/>
        <w:jc w:val="both"/>
        <w:rPr>
          <w:rFonts w:ascii="Times New Roman" w:eastAsia="Times New Roman" w:hAnsi="Times New Roman"/>
          <w:color w:val="000000"/>
          <w:sz w:val="24"/>
          <w:szCs w:val="24"/>
        </w:rPr>
      </w:pPr>
      <w:r w:rsidRPr="007718E8">
        <w:rPr>
          <w:rFonts w:ascii="Times New Roman" w:eastAsia="Times New Roman" w:hAnsi="Times New Roman"/>
          <w:b/>
          <w:bCs/>
          <w:color w:val="000000"/>
          <w:sz w:val="24"/>
          <w:szCs w:val="24"/>
        </w:rPr>
        <w:t> </w:t>
      </w:r>
    </w:p>
    <w:p w:rsidR="005F5560" w:rsidRPr="007718E8" w:rsidRDefault="005F5560" w:rsidP="005F5560">
      <w:pPr>
        <w:spacing w:after="0" w:line="360" w:lineRule="auto"/>
        <w:jc w:val="center"/>
        <w:rPr>
          <w:rFonts w:ascii="Times New Roman" w:eastAsia="Times New Roman" w:hAnsi="Times New Roman"/>
          <w:color w:val="000000"/>
          <w:sz w:val="24"/>
          <w:szCs w:val="24"/>
        </w:rPr>
      </w:pPr>
      <w:r w:rsidRPr="007718E8">
        <w:rPr>
          <w:rFonts w:ascii="Times New Roman" w:eastAsia="Times New Roman" w:hAnsi="Times New Roman"/>
          <w:b/>
          <w:bCs/>
          <w:color w:val="000000"/>
          <w:sz w:val="24"/>
          <w:szCs w:val="24"/>
        </w:rPr>
        <w:t>THÔNG TƯ</w:t>
      </w:r>
    </w:p>
    <w:p w:rsidR="005F5560" w:rsidRPr="007718E8" w:rsidRDefault="005F5560" w:rsidP="005F5560">
      <w:pPr>
        <w:spacing w:after="0" w:line="360" w:lineRule="auto"/>
        <w:jc w:val="center"/>
        <w:rPr>
          <w:rFonts w:ascii="Times New Roman" w:eastAsia="Times New Roman" w:hAnsi="Times New Roman"/>
          <w:color w:val="000000"/>
          <w:sz w:val="24"/>
          <w:szCs w:val="24"/>
        </w:rPr>
      </w:pPr>
      <w:r w:rsidRPr="007718E8">
        <w:rPr>
          <w:rFonts w:ascii="Times New Roman" w:eastAsia="Times New Roman" w:hAnsi="Times New Roman"/>
          <w:b/>
          <w:bCs/>
          <w:color w:val="000000"/>
          <w:sz w:val="24"/>
          <w:szCs w:val="24"/>
        </w:rPr>
        <w:t>HƯỚNG DẪN CHẾ ĐỘ THU, NỘP VÀ QUẢN LÝ SỬ DỤNG PHÍ</w:t>
      </w:r>
    </w:p>
    <w:p w:rsidR="005F5560" w:rsidRPr="007718E8" w:rsidRDefault="005F5560" w:rsidP="005F5560">
      <w:pPr>
        <w:spacing w:after="0" w:line="360" w:lineRule="auto"/>
        <w:jc w:val="center"/>
        <w:rPr>
          <w:rFonts w:ascii="Times New Roman" w:eastAsia="Times New Roman" w:hAnsi="Times New Roman"/>
          <w:color w:val="000000"/>
          <w:sz w:val="24"/>
          <w:szCs w:val="24"/>
        </w:rPr>
      </w:pPr>
      <w:r w:rsidRPr="007718E8">
        <w:rPr>
          <w:rFonts w:ascii="Times New Roman" w:eastAsia="Times New Roman" w:hAnsi="Times New Roman"/>
          <w:b/>
          <w:bCs/>
          <w:color w:val="000000"/>
          <w:sz w:val="24"/>
          <w:szCs w:val="24"/>
        </w:rPr>
        <w:t>THẨM ĐỊNH DỰ ÁN ĐẦU TƯ XÂY DỰNG</w:t>
      </w:r>
    </w:p>
    <w:p w:rsidR="005F5560" w:rsidRPr="007718E8" w:rsidRDefault="005F5560" w:rsidP="005F5560">
      <w:pPr>
        <w:spacing w:after="120" w:line="360" w:lineRule="auto"/>
        <w:jc w:val="both"/>
        <w:rPr>
          <w:rFonts w:ascii="Times New Roman" w:eastAsia="Times New Roman" w:hAnsi="Times New Roman"/>
          <w:color w:val="000000"/>
          <w:sz w:val="24"/>
          <w:szCs w:val="24"/>
        </w:rPr>
      </w:pPr>
      <w:r w:rsidRPr="007718E8">
        <w:rPr>
          <w:rFonts w:ascii="Times New Roman" w:eastAsia="Times New Roman" w:hAnsi="Times New Roman"/>
          <w:i/>
          <w:iCs/>
          <w:color w:val="000000"/>
          <w:sz w:val="24"/>
          <w:szCs w:val="24"/>
        </w:rPr>
        <w:t>Căn cứ Luật Xây dựng số 16/2003/QH 11 ngày 26/11/2003;</w:t>
      </w:r>
    </w:p>
    <w:p w:rsidR="005F5560" w:rsidRPr="007718E8" w:rsidRDefault="005F5560" w:rsidP="005F5560">
      <w:pPr>
        <w:spacing w:after="120" w:line="360" w:lineRule="auto"/>
        <w:jc w:val="both"/>
        <w:rPr>
          <w:rFonts w:ascii="Times New Roman" w:eastAsia="Times New Roman" w:hAnsi="Times New Roman"/>
          <w:color w:val="000000"/>
          <w:sz w:val="24"/>
          <w:szCs w:val="24"/>
        </w:rPr>
      </w:pPr>
      <w:r w:rsidRPr="007718E8">
        <w:rPr>
          <w:rFonts w:ascii="Times New Roman" w:eastAsia="Times New Roman" w:hAnsi="Times New Roman"/>
          <w:i/>
          <w:iCs/>
          <w:color w:val="000000"/>
          <w:sz w:val="24"/>
          <w:szCs w:val="24"/>
        </w:rPr>
        <w:t>Căn cứ Pháp lệnh Phí và Lệ phí;</w:t>
      </w:r>
    </w:p>
    <w:p w:rsidR="005F5560" w:rsidRPr="007718E8" w:rsidRDefault="005F5560" w:rsidP="005F5560">
      <w:pPr>
        <w:spacing w:after="120" w:line="360" w:lineRule="auto"/>
        <w:jc w:val="both"/>
        <w:rPr>
          <w:rFonts w:ascii="Times New Roman" w:eastAsia="Times New Roman" w:hAnsi="Times New Roman"/>
          <w:color w:val="000000"/>
          <w:sz w:val="24"/>
          <w:szCs w:val="24"/>
        </w:rPr>
      </w:pPr>
      <w:r w:rsidRPr="007718E8">
        <w:rPr>
          <w:rFonts w:ascii="Times New Roman" w:eastAsia="Times New Roman" w:hAnsi="Times New Roman"/>
          <w:i/>
          <w:iCs/>
          <w:color w:val="000000"/>
          <w:sz w:val="24"/>
          <w:szCs w:val="24"/>
        </w:rPr>
        <w:t>Căn cứ Nghị định số 12/2009/NĐ-CP ngày 10/02/2009 của Chính phủ về quản lý dự án đầu tư xây dựng công trình và Nghị định số 83/2009/NĐ-CP ngày 15/10/2009 về sửa đổi, bổ sung một số điều Nghị định số 12/2009/NĐ-CP ngày 10/02/2009 của Chính phủ;</w:t>
      </w:r>
    </w:p>
    <w:p w:rsidR="005F5560" w:rsidRPr="007718E8" w:rsidRDefault="005F5560" w:rsidP="005F5560">
      <w:pPr>
        <w:spacing w:after="120" w:line="360" w:lineRule="auto"/>
        <w:jc w:val="both"/>
        <w:rPr>
          <w:rFonts w:ascii="Times New Roman" w:eastAsia="Times New Roman" w:hAnsi="Times New Roman"/>
          <w:color w:val="000000"/>
          <w:sz w:val="24"/>
          <w:szCs w:val="24"/>
        </w:rPr>
      </w:pPr>
      <w:r w:rsidRPr="007718E8">
        <w:rPr>
          <w:rFonts w:ascii="Times New Roman" w:eastAsia="Times New Roman" w:hAnsi="Times New Roman"/>
          <w:i/>
          <w:iCs/>
          <w:color w:val="000000"/>
          <w:sz w:val="24"/>
          <w:szCs w:val="24"/>
        </w:rPr>
        <w:t>Căn cứ Nghị định số 02/2006/NĐ-CP ngày 05/01/2006 của Chính phủ về việc ban hành quy chế khu đô thị mới;</w:t>
      </w:r>
    </w:p>
    <w:p w:rsidR="005F5560" w:rsidRPr="007718E8" w:rsidRDefault="005F5560" w:rsidP="005F5560">
      <w:pPr>
        <w:spacing w:after="120" w:line="360" w:lineRule="auto"/>
        <w:jc w:val="both"/>
        <w:rPr>
          <w:rFonts w:ascii="Times New Roman" w:eastAsia="Times New Roman" w:hAnsi="Times New Roman"/>
          <w:color w:val="000000"/>
          <w:sz w:val="24"/>
          <w:szCs w:val="24"/>
        </w:rPr>
      </w:pPr>
      <w:r w:rsidRPr="007718E8">
        <w:rPr>
          <w:rFonts w:ascii="Times New Roman" w:eastAsia="Times New Roman" w:hAnsi="Times New Roman"/>
          <w:i/>
          <w:iCs/>
          <w:color w:val="000000"/>
          <w:sz w:val="24"/>
          <w:szCs w:val="24"/>
        </w:rPr>
        <w:t>Căn cứ Nghị định số 57/2002/NĐ-CP ngày 3/6/2002 và Nghị định số 24/2006/NĐ-CP ngày 06/3/2006 của Chính phủ quy định chi tiết thi hành Pháp lệnh phí và lệ phí;</w:t>
      </w:r>
    </w:p>
    <w:p w:rsidR="005F5560" w:rsidRPr="007718E8" w:rsidRDefault="005F5560" w:rsidP="005F5560">
      <w:pPr>
        <w:spacing w:after="120" w:line="360" w:lineRule="auto"/>
        <w:jc w:val="both"/>
        <w:rPr>
          <w:rFonts w:ascii="Times New Roman" w:eastAsia="Times New Roman" w:hAnsi="Times New Roman"/>
          <w:color w:val="000000"/>
          <w:sz w:val="24"/>
          <w:szCs w:val="24"/>
        </w:rPr>
      </w:pPr>
      <w:r w:rsidRPr="007718E8">
        <w:rPr>
          <w:rFonts w:ascii="Times New Roman" w:eastAsia="Times New Roman" w:hAnsi="Times New Roman"/>
          <w:i/>
          <w:iCs/>
          <w:color w:val="000000"/>
          <w:sz w:val="24"/>
          <w:szCs w:val="24"/>
        </w:rPr>
        <w:t>Căn cứ Nghị định số 118/2008/NĐ-CP ngày 27/11/2008 của Chính phủ quy định chức năng, nhiệm vụ, quyền hạn và cơ cấu tổ chức của Bộ Tài chính;</w:t>
      </w:r>
    </w:p>
    <w:p w:rsidR="005F5560" w:rsidRPr="007718E8" w:rsidRDefault="005F5560" w:rsidP="005F5560">
      <w:pPr>
        <w:spacing w:after="120" w:line="360" w:lineRule="auto"/>
        <w:jc w:val="both"/>
        <w:rPr>
          <w:rFonts w:ascii="Times New Roman" w:eastAsia="Times New Roman" w:hAnsi="Times New Roman"/>
          <w:color w:val="000000"/>
          <w:sz w:val="24"/>
          <w:szCs w:val="24"/>
        </w:rPr>
      </w:pPr>
      <w:r w:rsidRPr="007718E8">
        <w:rPr>
          <w:rFonts w:ascii="Times New Roman" w:eastAsia="Times New Roman" w:hAnsi="Times New Roman"/>
          <w:i/>
          <w:iCs/>
          <w:color w:val="000000"/>
          <w:sz w:val="24"/>
          <w:szCs w:val="24"/>
        </w:rPr>
        <w:t xml:space="preserve">Căn cứ Nghị quyết số 55/NQ-CP ngày 14/12/2010 của Chính phủ về việc đơn giản hoá thủ tục hành chính thuộc phạm </w:t>
      </w:r>
      <w:proofErr w:type="gramStart"/>
      <w:r w:rsidRPr="007718E8">
        <w:rPr>
          <w:rFonts w:ascii="Times New Roman" w:eastAsia="Times New Roman" w:hAnsi="Times New Roman"/>
          <w:i/>
          <w:iCs/>
          <w:color w:val="000000"/>
          <w:sz w:val="24"/>
          <w:szCs w:val="24"/>
        </w:rPr>
        <w:t>vi</w:t>
      </w:r>
      <w:proofErr w:type="gramEnd"/>
      <w:r w:rsidRPr="007718E8">
        <w:rPr>
          <w:rFonts w:ascii="Times New Roman" w:eastAsia="Times New Roman" w:hAnsi="Times New Roman"/>
          <w:i/>
          <w:iCs/>
          <w:color w:val="000000"/>
          <w:sz w:val="24"/>
          <w:szCs w:val="24"/>
        </w:rPr>
        <w:t xml:space="preserve"> chức năng quản lý của Bộ Xây dựng;</w:t>
      </w:r>
    </w:p>
    <w:p w:rsidR="005F5560" w:rsidRPr="007718E8" w:rsidRDefault="005F5560" w:rsidP="005F5560">
      <w:pPr>
        <w:spacing w:after="120" w:line="360" w:lineRule="auto"/>
        <w:jc w:val="both"/>
        <w:rPr>
          <w:rFonts w:ascii="Times New Roman" w:eastAsia="Times New Roman" w:hAnsi="Times New Roman"/>
          <w:color w:val="000000"/>
          <w:sz w:val="24"/>
          <w:szCs w:val="24"/>
        </w:rPr>
      </w:pPr>
      <w:r w:rsidRPr="007718E8">
        <w:rPr>
          <w:rFonts w:ascii="Times New Roman" w:eastAsia="Times New Roman" w:hAnsi="Times New Roman"/>
          <w:i/>
          <w:iCs/>
          <w:color w:val="000000"/>
          <w:sz w:val="24"/>
          <w:szCs w:val="24"/>
        </w:rPr>
        <w:lastRenderedPageBreak/>
        <w:t>Sau khi có ý kiến của Bộ Xây dựng tại công văn số 1527/BXD-KTXD ngày 12/9/2011, Bộ Tài chính hướng dẫn chế độ thu, nộp và quản lý sử dụng phí thẩm định dự án đầu tư xây dựng như sau:</w:t>
      </w:r>
    </w:p>
    <w:p w:rsidR="005F5560" w:rsidRPr="007718E8" w:rsidRDefault="005F5560" w:rsidP="005F5560">
      <w:pPr>
        <w:spacing w:after="120" w:line="360" w:lineRule="auto"/>
        <w:ind w:firstLine="720"/>
        <w:jc w:val="both"/>
        <w:rPr>
          <w:rFonts w:ascii="Times New Roman" w:eastAsia="Times New Roman" w:hAnsi="Times New Roman"/>
          <w:color w:val="000000"/>
          <w:sz w:val="24"/>
          <w:szCs w:val="24"/>
        </w:rPr>
      </w:pPr>
      <w:proofErr w:type="gramStart"/>
      <w:r w:rsidRPr="007718E8">
        <w:rPr>
          <w:rFonts w:ascii="Times New Roman" w:eastAsia="Times New Roman" w:hAnsi="Times New Roman"/>
          <w:b/>
          <w:bCs/>
          <w:color w:val="000000"/>
          <w:sz w:val="24"/>
          <w:szCs w:val="24"/>
        </w:rPr>
        <w:t>Điều 1.</w:t>
      </w:r>
      <w:proofErr w:type="gramEnd"/>
      <w:r w:rsidRPr="007718E8">
        <w:rPr>
          <w:rFonts w:ascii="Times New Roman" w:eastAsia="Times New Roman" w:hAnsi="Times New Roman"/>
          <w:b/>
          <w:bCs/>
          <w:color w:val="000000"/>
          <w:sz w:val="24"/>
          <w:szCs w:val="24"/>
        </w:rPr>
        <w:t xml:space="preserve"> Phạm </w:t>
      </w:r>
      <w:proofErr w:type="gramStart"/>
      <w:r w:rsidRPr="007718E8">
        <w:rPr>
          <w:rFonts w:ascii="Times New Roman" w:eastAsia="Times New Roman" w:hAnsi="Times New Roman"/>
          <w:b/>
          <w:bCs/>
          <w:color w:val="000000"/>
          <w:sz w:val="24"/>
          <w:szCs w:val="24"/>
        </w:rPr>
        <w:t>vi</w:t>
      </w:r>
      <w:proofErr w:type="gramEnd"/>
      <w:r w:rsidRPr="007718E8">
        <w:rPr>
          <w:rFonts w:ascii="Times New Roman" w:eastAsia="Times New Roman" w:hAnsi="Times New Roman"/>
          <w:b/>
          <w:bCs/>
          <w:color w:val="000000"/>
          <w:sz w:val="24"/>
          <w:szCs w:val="24"/>
        </w:rPr>
        <w:t xml:space="preserve"> áp dụng</w:t>
      </w:r>
    </w:p>
    <w:p w:rsidR="005F5560" w:rsidRPr="007718E8" w:rsidRDefault="005F5560" w:rsidP="005F5560">
      <w:pPr>
        <w:spacing w:after="120" w:line="360" w:lineRule="auto"/>
        <w:ind w:firstLine="720"/>
        <w:jc w:val="both"/>
        <w:rPr>
          <w:rFonts w:ascii="Times New Roman" w:eastAsia="Times New Roman" w:hAnsi="Times New Roman"/>
          <w:color w:val="000000"/>
          <w:sz w:val="24"/>
          <w:szCs w:val="24"/>
        </w:rPr>
      </w:pPr>
      <w:r w:rsidRPr="007718E8">
        <w:rPr>
          <w:rFonts w:ascii="Times New Roman" w:eastAsia="Times New Roman" w:hAnsi="Times New Roman"/>
          <w:color w:val="000000"/>
          <w:sz w:val="24"/>
          <w:szCs w:val="24"/>
        </w:rPr>
        <w:t xml:space="preserve">Thẩm định dự </w:t>
      </w:r>
      <w:proofErr w:type="gramStart"/>
      <w:r w:rsidRPr="007718E8">
        <w:rPr>
          <w:rFonts w:ascii="Times New Roman" w:eastAsia="Times New Roman" w:hAnsi="Times New Roman"/>
          <w:color w:val="000000"/>
          <w:sz w:val="24"/>
          <w:szCs w:val="24"/>
        </w:rPr>
        <w:t>án</w:t>
      </w:r>
      <w:proofErr w:type="gramEnd"/>
      <w:r w:rsidRPr="007718E8">
        <w:rPr>
          <w:rFonts w:ascii="Times New Roman" w:eastAsia="Times New Roman" w:hAnsi="Times New Roman"/>
          <w:color w:val="000000"/>
          <w:sz w:val="24"/>
          <w:szCs w:val="24"/>
        </w:rPr>
        <w:t xml:space="preserve"> đầu tư xây dựng công trình bao gồm các nội dung quy định tại Điều 11 Nghị định số 12/2009/NĐ-CP ngày 10/2/2009 của Chính phủ về quản lý dự án đầu tư xây dựng công trình.</w:t>
      </w:r>
    </w:p>
    <w:p w:rsidR="005F5560" w:rsidRPr="007718E8" w:rsidRDefault="005F5560" w:rsidP="005F5560">
      <w:pPr>
        <w:spacing w:after="120" w:line="360" w:lineRule="auto"/>
        <w:ind w:firstLine="720"/>
        <w:jc w:val="both"/>
        <w:rPr>
          <w:rFonts w:ascii="Times New Roman" w:eastAsia="Times New Roman" w:hAnsi="Times New Roman"/>
          <w:color w:val="000000"/>
          <w:sz w:val="24"/>
          <w:szCs w:val="24"/>
        </w:rPr>
      </w:pPr>
      <w:r w:rsidRPr="007718E8">
        <w:rPr>
          <w:rFonts w:ascii="Times New Roman" w:eastAsia="Times New Roman" w:hAnsi="Times New Roman"/>
          <w:color w:val="000000"/>
          <w:sz w:val="24"/>
          <w:szCs w:val="24"/>
        </w:rPr>
        <w:t>Phí thẩm định dự án đầu tư xây dựng áp dụng cho các dự án đầu tư xây dựng công trình quy định tại Phụ lục I ban hành kèm theo Nghị định số 12/2009/NĐ-CP ngày 10/2/2009 của Chính phủ về quản lý dự án đầu tư xây dựng công trình và Nghị định số 02/2006/NĐ-CP ngày 05/01/2006 của Chính phủ về việc ban hành quy chế khu đô thị mới.</w:t>
      </w:r>
    </w:p>
    <w:p w:rsidR="005F5560" w:rsidRPr="007718E8" w:rsidRDefault="005F5560" w:rsidP="005F5560">
      <w:pPr>
        <w:spacing w:after="120" w:line="360" w:lineRule="auto"/>
        <w:ind w:firstLine="720"/>
        <w:jc w:val="both"/>
        <w:rPr>
          <w:rFonts w:ascii="Times New Roman" w:eastAsia="Times New Roman" w:hAnsi="Times New Roman"/>
          <w:color w:val="000000"/>
          <w:sz w:val="24"/>
          <w:szCs w:val="24"/>
        </w:rPr>
      </w:pPr>
      <w:proofErr w:type="gramStart"/>
      <w:r w:rsidRPr="007718E8">
        <w:rPr>
          <w:rFonts w:ascii="Times New Roman" w:eastAsia="Times New Roman" w:hAnsi="Times New Roman"/>
          <w:b/>
          <w:bCs/>
          <w:color w:val="000000"/>
          <w:sz w:val="24"/>
          <w:szCs w:val="24"/>
        </w:rPr>
        <w:t>Điều 2.</w:t>
      </w:r>
      <w:proofErr w:type="gramEnd"/>
      <w:r w:rsidRPr="007718E8">
        <w:rPr>
          <w:rFonts w:ascii="Times New Roman" w:eastAsia="Times New Roman" w:hAnsi="Times New Roman"/>
          <w:b/>
          <w:bCs/>
          <w:color w:val="000000"/>
          <w:sz w:val="24"/>
          <w:szCs w:val="24"/>
        </w:rPr>
        <w:t xml:space="preserve"> Đối tượng nộp phí</w:t>
      </w:r>
    </w:p>
    <w:p w:rsidR="005F5560" w:rsidRPr="007718E8" w:rsidRDefault="005F5560" w:rsidP="005F5560">
      <w:pPr>
        <w:spacing w:after="120" w:line="360" w:lineRule="auto"/>
        <w:ind w:firstLine="720"/>
        <w:jc w:val="both"/>
        <w:rPr>
          <w:rFonts w:ascii="Times New Roman" w:eastAsia="Times New Roman" w:hAnsi="Times New Roman"/>
          <w:color w:val="000000"/>
          <w:sz w:val="24"/>
          <w:szCs w:val="24"/>
        </w:rPr>
      </w:pPr>
      <w:r w:rsidRPr="007718E8">
        <w:rPr>
          <w:rFonts w:ascii="Times New Roman" w:eastAsia="Times New Roman" w:hAnsi="Times New Roman"/>
          <w:color w:val="000000"/>
          <w:sz w:val="24"/>
          <w:szCs w:val="24"/>
        </w:rPr>
        <w:t>Đối tượng phải nộp phí thẩm định dự án đầu tư xây dựng là chủ đầu tư của dự án đầu tư xây dựng công trình được quy định tại Nghị định số 83/2009/NĐ-CP ngày 15/10/2009 và Nghị định số 12/2009/NĐ-CP ngày 10/02/2009 của Chính phủ về quản lý dự án đầu tư xây dựng công trình; Nghị định số 02/2006/NĐ-CP ngày 05/01/2006 của Chính phủ về việc ban hành quy chế khu đô thị mới.</w:t>
      </w:r>
    </w:p>
    <w:p w:rsidR="005F5560" w:rsidRPr="007718E8" w:rsidRDefault="005F5560" w:rsidP="005F5560">
      <w:pPr>
        <w:spacing w:after="120" w:line="360" w:lineRule="auto"/>
        <w:ind w:firstLine="720"/>
        <w:jc w:val="both"/>
        <w:rPr>
          <w:rFonts w:ascii="Times New Roman" w:eastAsia="Times New Roman" w:hAnsi="Times New Roman"/>
          <w:color w:val="000000"/>
          <w:sz w:val="24"/>
          <w:szCs w:val="24"/>
        </w:rPr>
      </w:pPr>
      <w:proofErr w:type="gramStart"/>
      <w:r w:rsidRPr="007718E8">
        <w:rPr>
          <w:rFonts w:ascii="Times New Roman" w:eastAsia="Times New Roman" w:hAnsi="Times New Roman"/>
          <w:b/>
          <w:bCs/>
          <w:color w:val="000000"/>
          <w:sz w:val="24"/>
          <w:szCs w:val="24"/>
        </w:rPr>
        <w:t>Điều 3.</w:t>
      </w:r>
      <w:proofErr w:type="gramEnd"/>
      <w:r w:rsidRPr="007718E8">
        <w:rPr>
          <w:rFonts w:ascii="Times New Roman" w:eastAsia="Times New Roman" w:hAnsi="Times New Roman"/>
          <w:b/>
          <w:bCs/>
          <w:color w:val="000000"/>
          <w:sz w:val="24"/>
          <w:szCs w:val="24"/>
        </w:rPr>
        <w:t xml:space="preserve"> Mức </w:t>
      </w:r>
      <w:proofErr w:type="gramStart"/>
      <w:r w:rsidRPr="007718E8">
        <w:rPr>
          <w:rFonts w:ascii="Times New Roman" w:eastAsia="Times New Roman" w:hAnsi="Times New Roman"/>
          <w:b/>
          <w:bCs/>
          <w:color w:val="000000"/>
          <w:sz w:val="24"/>
          <w:szCs w:val="24"/>
        </w:rPr>
        <w:t>thu</w:t>
      </w:r>
      <w:proofErr w:type="gramEnd"/>
    </w:p>
    <w:p w:rsidR="005F5560" w:rsidRPr="007718E8" w:rsidRDefault="005F5560" w:rsidP="005F5560">
      <w:pPr>
        <w:spacing w:after="120" w:line="360" w:lineRule="auto"/>
        <w:ind w:firstLine="720"/>
        <w:jc w:val="both"/>
        <w:rPr>
          <w:rFonts w:ascii="Times New Roman" w:eastAsia="Times New Roman" w:hAnsi="Times New Roman"/>
          <w:color w:val="000000"/>
          <w:sz w:val="24"/>
          <w:szCs w:val="24"/>
        </w:rPr>
      </w:pPr>
      <w:r w:rsidRPr="007718E8">
        <w:rPr>
          <w:rFonts w:ascii="Times New Roman" w:eastAsia="Times New Roman" w:hAnsi="Times New Roman"/>
          <w:color w:val="000000"/>
          <w:sz w:val="24"/>
          <w:szCs w:val="24"/>
        </w:rPr>
        <w:t xml:space="preserve">1. Xác định số tiền phí thẩm định dự </w:t>
      </w:r>
      <w:proofErr w:type="gramStart"/>
      <w:r w:rsidRPr="007718E8">
        <w:rPr>
          <w:rFonts w:ascii="Times New Roman" w:eastAsia="Times New Roman" w:hAnsi="Times New Roman"/>
          <w:color w:val="000000"/>
          <w:sz w:val="24"/>
          <w:szCs w:val="24"/>
        </w:rPr>
        <w:t>án</w:t>
      </w:r>
      <w:proofErr w:type="gramEnd"/>
      <w:r w:rsidRPr="007718E8">
        <w:rPr>
          <w:rFonts w:ascii="Times New Roman" w:eastAsia="Times New Roman" w:hAnsi="Times New Roman"/>
          <w:color w:val="000000"/>
          <w:sz w:val="24"/>
          <w:szCs w:val="24"/>
        </w:rPr>
        <w:t xml:space="preserve"> đầu tư xây dựng phải thu:</w:t>
      </w:r>
    </w:p>
    <w:p w:rsidR="005F5560" w:rsidRPr="007718E8" w:rsidRDefault="005F5560" w:rsidP="005F5560">
      <w:pPr>
        <w:spacing w:after="120" w:line="360" w:lineRule="auto"/>
        <w:ind w:firstLine="720"/>
        <w:jc w:val="both"/>
        <w:rPr>
          <w:rFonts w:ascii="Times New Roman" w:eastAsia="Times New Roman" w:hAnsi="Times New Roman"/>
          <w:color w:val="000000"/>
          <w:sz w:val="24"/>
          <w:szCs w:val="24"/>
        </w:rPr>
      </w:pPr>
      <w:r w:rsidRPr="007718E8">
        <w:rPr>
          <w:rFonts w:ascii="Times New Roman" w:eastAsia="Times New Roman" w:hAnsi="Times New Roman"/>
          <w:color w:val="000000"/>
          <w:sz w:val="24"/>
          <w:szCs w:val="24"/>
        </w:rPr>
        <w:t xml:space="preserve">a) Căn cứ xác định số tiền phí thẩm định dự </w:t>
      </w:r>
      <w:proofErr w:type="gramStart"/>
      <w:r w:rsidRPr="007718E8">
        <w:rPr>
          <w:rFonts w:ascii="Times New Roman" w:eastAsia="Times New Roman" w:hAnsi="Times New Roman"/>
          <w:color w:val="000000"/>
          <w:sz w:val="24"/>
          <w:szCs w:val="24"/>
        </w:rPr>
        <w:t>án</w:t>
      </w:r>
      <w:proofErr w:type="gramEnd"/>
      <w:r w:rsidRPr="007718E8">
        <w:rPr>
          <w:rFonts w:ascii="Times New Roman" w:eastAsia="Times New Roman" w:hAnsi="Times New Roman"/>
          <w:color w:val="000000"/>
          <w:sz w:val="24"/>
          <w:szCs w:val="24"/>
        </w:rPr>
        <w:t xml:space="preserve"> đầu tư xây dựng phải thu là tổng mức đầu tư được duyệt và mức thu, cụ thể như sau:</w:t>
      </w:r>
    </w:p>
    <w:p w:rsidR="005F5560" w:rsidRPr="007718E8" w:rsidRDefault="005F5560" w:rsidP="005F5560">
      <w:pPr>
        <w:spacing w:after="0" w:line="360" w:lineRule="auto"/>
        <w:jc w:val="both"/>
        <w:rPr>
          <w:rFonts w:ascii="Times New Roman" w:eastAsia="Times New Roman" w:hAnsi="Times New Roman"/>
          <w:color w:val="000000"/>
          <w:sz w:val="24"/>
          <w:szCs w:val="24"/>
        </w:rPr>
      </w:pPr>
      <w:r w:rsidRPr="007718E8">
        <w:rPr>
          <w:rFonts w:ascii="Times New Roman" w:eastAsia="Times New Roman" w:hAnsi="Times New Roman"/>
          <w:color w:val="000000"/>
          <w:sz w:val="24"/>
          <w:szCs w:val="24"/>
        </w:rPr>
        <w:t> </w:t>
      </w:r>
    </w:p>
    <w:tbl>
      <w:tblPr>
        <w:tblW w:w="0" w:type="auto"/>
        <w:tblCellMar>
          <w:left w:w="0" w:type="dxa"/>
          <w:right w:w="0" w:type="dxa"/>
        </w:tblCellMar>
        <w:tblLook w:val="04A0"/>
      </w:tblPr>
      <w:tblGrid>
        <w:gridCol w:w="2808"/>
        <w:gridCol w:w="661"/>
        <w:gridCol w:w="2579"/>
        <w:gridCol w:w="711"/>
        <w:gridCol w:w="1915"/>
      </w:tblGrid>
      <w:tr w:rsidR="005F5560" w:rsidRPr="007718E8" w:rsidTr="004273DE">
        <w:tc>
          <w:tcPr>
            <w:tcW w:w="2808" w:type="dxa"/>
            <w:tcBorders>
              <w:top w:val="nil"/>
              <w:left w:val="nil"/>
              <w:bottom w:val="nil"/>
              <w:right w:val="nil"/>
            </w:tcBorders>
            <w:shd w:val="clear" w:color="auto" w:fill="auto"/>
            <w:tcMar>
              <w:top w:w="0" w:type="dxa"/>
              <w:left w:w="108" w:type="dxa"/>
              <w:bottom w:w="0" w:type="dxa"/>
              <w:right w:w="108" w:type="dxa"/>
            </w:tcMar>
            <w:vAlign w:val="center"/>
            <w:hideMark/>
          </w:tcPr>
          <w:p w:rsidR="005F5560" w:rsidRPr="007718E8" w:rsidRDefault="005F5560" w:rsidP="004273DE">
            <w:pPr>
              <w:spacing w:after="0" w:line="360" w:lineRule="auto"/>
              <w:jc w:val="both"/>
              <w:rPr>
                <w:rFonts w:ascii="Times New Roman" w:eastAsia="Times New Roman" w:hAnsi="Times New Roman"/>
                <w:color w:val="000000"/>
                <w:sz w:val="24"/>
                <w:szCs w:val="24"/>
              </w:rPr>
            </w:pPr>
            <w:r w:rsidRPr="007718E8">
              <w:rPr>
                <w:rFonts w:ascii="Times New Roman" w:eastAsia="Times New Roman" w:hAnsi="Times New Roman"/>
                <w:color w:val="000000"/>
                <w:sz w:val="24"/>
                <w:szCs w:val="24"/>
              </w:rPr>
              <w:t>- Phí thẩm định dự án đầu tư xây dựng</w:t>
            </w:r>
          </w:p>
        </w:tc>
        <w:tc>
          <w:tcPr>
            <w:tcW w:w="661" w:type="dxa"/>
            <w:tcBorders>
              <w:top w:val="nil"/>
              <w:left w:val="nil"/>
              <w:bottom w:val="nil"/>
              <w:right w:val="nil"/>
            </w:tcBorders>
            <w:shd w:val="clear" w:color="auto" w:fill="auto"/>
            <w:tcMar>
              <w:top w:w="0" w:type="dxa"/>
              <w:left w:w="108" w:type="dxa"/>
              <w:bottom w:w="0" w:type="dxa"/>
              <w:right w:w="108" w:type="dxa"/>
            </w:tcMar>
            <w:vAlign w:val="center"/>
            <w:hideMark/>
          </w:tcPr>
          <w:p w:rsidR="005F5560" w:rsidRPr="007718E8" w:rsidRDefault="005F5560" w:rsidP="004273DE">
            <w:pPr>
              <w:spacing w:after="0" w:line="360" w:lineRule="auto"/>
              <w:jc w:val="both"/>
              <w:rPr>
                <w:rFonts w:ascii="Times New Roman" w:eastAsia="Times New Roman" w:hAnsi="Times New Roman"/>
                <w:color w:val="000000"/>
                <w:sz w:val="24"/>
                <w:szCs w:val="24"/>
              </w:rPr>
            </w:pPr>
            <w:r w:rsidRPr="007718E8">
              <w:rPr>
                <w:rFonts w:ascii="Times New Roman" w:eastAsia="Times New Roman" w:hAnsi="Times New Roman"/>
                <w:color w:val="000000"/>
                <w:sz w:val="24"/>
                <w:szCs w:val="24"/>
              </w:rPr>
              <w:t>=</w:t>
            </w:r>
          </w:p>
        </w:tc>
        <w:tc>
          <w:tcPr>
            <w:tcW w:w="2579" w:type="dxa"/>
            <w:tcBorders>
              <w:top w:val="nil"/>
              <w:left w:val="nil"/>
              <w:bottom w:val="nil"/>
              <w:right w:val="nil"/>
            </w:tcBorders>
            <w:shd w:val="clear" w:color="auto" w:fill="auto"/>
            <w:tcMar>
              <w:top w:w="0" w:type="dxa"/>
              <w:left w:w="108" w:type="dxa"/>
              <w:bottom w:w="0" w:type="dxa"/>
              <w:right w:w="108" w:type="dxa"/>
            </w:tcMar>
            <w:vAlign w:val="center"/>
            <w:hideMark/>
          </w:tcPr>
          <w:p w:rsidR="005F5560" w:rsidRPr="007718E8" w:rsidRDefault="005F5560" w:rsidP="004273DE">
            <w:pPr>
              <w:spacing w:after="0" w:line="360" w:lineRule="auto"/>
              <w:jc w:val="both"/>
              <w:rPr>
                <w:rFonts w:ascii="Times New Roman" w:eastAsia="Times New Roman" w:hAnsi="Times New Roman"/>
                <w:color w:val="000000"/>
                <w:sz w:val="24"/>
                <w:szCs w:val="24"/>
              </w:rPr>
            </w:pPr>
            <w:r w:rsidRPr="007718E8">
              <w:rPr>
                <w:rFonts w:ascii="Times New Roman" w:eastAsia="Times New Roman" w:hAnsi="Times New Roman"/>
                <w:color w:val="000000"/>
                <w:sz w:val="24"/>
                <w:szCs w:val="24"/>
              </w:rPr>
              <w:t>Tổng mức đầu tư được phê duyệt</w:t>
            </w:r>
          </w:p>
        </w:tc>
        <w:tc>
          <w:tcPr>
            <w:tcW w:w="711" w:type="dxa"/>
            <w:tcBorders>
              <w:top w:val="nil"/>
              <w:left w:val="nil"/>
              <w:bottom w:val="nil"/>
              <w:right w:val="nil"/>
            </w:tcBorders>
            <w:shd w:val="clear" w:color="auto" w:fill="auto"/>
            <w:tcMar>
              <w:top w:w="0" w:type="dxa"/>
              <w:left w:w="108" w:type="dxa"/>
              <w:bottom w:w="0" w:type="dxa"/>
              <w:right w:w="108" w:type="dxa"/>
            </w:tcMar>
            <w:vAlign w:val="center"/>
            <w:hideMark/>
          </w:tcPr>
          <w:p w:rsidR="005F5560" w:rsidRPr="007718E8" w:rsidRDefault="005F5560" w:rsidP="004273DE">
            <w:pPr>
              <w:spacing w:after="0" w:line="360" w:lineRule="auto"/>
              <w:jc w:val="both"/>
              <w:rPr>
                <w:rFonts w:ascii="Times New Roman" w:eastAsia="Times New Roman" w:hAnsi="Times New Roman"/>
                <w:color w:val="000000"/>
                <w:sz w:val="24"/>
                <w:szCs w:val="24"/>
              </w:rPr>
            </w:pPr>
            <w:r w:rsidRPr="007718E8">
              <w:rPr>
                <w:rFonts w:ascii="Times New Roman" w:eastAsia="Times New Roman" w:hAnsi="Times New Roman"/>
                <w:color w:val="000000"/>
                <w:sz w:val="24"/>
                <w:szCs w:val="24"/>
              </w:rPr>
              <w:t>x</w:t>
            </w:r>
          </w:p>
        </w:tc>
        <w:tc>
          <w:tcPr>
            <w:tcW w:w="1915" w:type="dxa"/>
            <w:tcBorders>
              <w:top w:val="nil"/>
              <w:left w:val="nil"/>
              <w:bottom w:val="nil"/>
              <w:right w:val="nil"/>
            </w:tcBorders>
            <w:shd w:val="clear" w:color="auto" w:fill="auto"/>
            <w:tcMar>
              <w:top w:w="0" w:type="dxa"/>
              <w:left w:w="108" w:type="dxa"/>
              <w:bottom w:w="0" w:type="dxa"/>
              <w:right w:w="108" w:type="dxa"/>
            </w:tcMar>
            <w:vAlign w:val="center"/>
            <w:hideMark/>
          </w:tcPr>
          <w:p w:rsidR="005F5560" w:rsidRPr="007718E8" w:rsidRDefault="005F5560" w:rsidP="004273DE">
            <w:pPr>
              <w:spacing w:after="0" w:line="360" w:lineRule="auto"/>
              <w:jc w:val="both"/>
              <w:rPr>
                <w:rFonts w:ascii="Times New Roman" w:eastAsia="Times New Roman" w:hAnsi="Times New Roman"/>
                <w:color w:val="000000"/>
                <w:sz w:val="24"/>
                <w:szCs w:val="24"/>
              </w:rPr>
            </w:pPr>
            <w:r w:rsidRPr="007718E8">
              <w:rPr>
                <w:rFonts w:ascii="Times New Roman" w:eastAsia="Times New Roman" w:hAnsi="Times New Roman"/>
                <w:color w:val="000000"/>
                <w:sz w:val="24"/>
                <w:szCs w:val="24"/>
              </w:rPr>
              <w:t>Mức thu</w:t>
            </w:r>
          </w:p>
        </w:tc>
      </w:tr>
    </w:tbl>
    <w:p w:rsidR="005F5560" w:rsidRPr="007718E8" w:rsidRDefault="005F5560" w:rsidP="005F5560">
      <w:pPr>
        <w:spacing w:after="0" w:line="360" w:lineRule="auto"/>
        <w:jc w:val="both"/>
        <w:rPr>
          <w:rFonts w:ascii="Times New Roman" w:eastAsia="Times New Roman" w:hAnsi="Times New Roman"/>
          <w:color w:val="000000"/>
          <w:sz w:val="24"/>
          <w:szCs w:val="24"/>
        </w:rPr>
      </w:pPr>
      <w:r w:rsidRPr="007718E8">
        <w:rPr>
          <w:rFonts w:ascii="Times New Roman" w:eastAsia="Times New Roman" w:hAnsi="Times New Roman"/>
          <w:color w:val="000000"/>
          <w:sz w:val="24"/>
          <w:szCs w:val="24"/>
        </w:rPr>
        <w:t> </w:t>
      </w:r>
    </w:p>
    <w:p w:rsidR="005F5560" w:rsidRPr="007718E8" w:rsidRDefault="005F5560" w:rsidP="005F5560">
      <w:pPr>
        <w:spacing w:after="120" w:line="360" w:lineRule="auto"/>
        <w:ind w:firstLine="720"/>
        <w:jc w:val="both"/>
        <w:rPr>
          <w:rFonts w:ascii="Times New Roman" w:eastAsia="Times New Roman" w:hAnsi="Times New Roman"/>
          <w:color w:val="000000"/>
          <w:sz w:val="24"/>
          <w:szCs w:val="24"/>
        </w:rPr>
      </w:pPr>
      <w:r w:rsidRPr="007718E8">
        <w:rPr>
          <w:rFonts w:ascii="Times New Roman" w:eastAsia="Times New Roman" w:hAnsi="Times New Roman"/>
          <w:color w:val="000000"/>
          <w:sz w:val="24"/>
          <w:szCs w:val="24"/>
        </w:rPr>
        <w:t xml:space="preserve">Trường hợp nhóm công trình có giá trị nằm giữa các khoảng giá trị công trình ghi trên Biểu mức </w:t>
      </w:r>
      <w:proofErr w:type="gramStart"/>
      <w:r w:rsidRPr="007718E8">
        <w:rPr>
          <w:rFonts w:ascii="Times New Roman" w:eastAsia="Times New Roman" w:hAnsi="Times New Roman"/>
          <w:color w:val="000000"/>
          <w:sz w:val="24"/>
          <w:szCs w:val="24"/>
        </w:rPr>
        <w:t>thu</w:t>
      </w:r>
      <w:proofErr w:type="gramEnd"/>
      <w:r w:rsidRPr="007718E8">
        <w:rPr>
          <w:rFonts w:ascii="Times New Roman" w:eastAsia="Times New Roman" w:hAnsi="Times New Roman"/>
          <w:color w:val="000000"/>
          <w:sz w:val="24"/>
          <w:szCs w:val="24"/>
        </w:rPr>
        <w:t xml:space="preserve"> thì phí thẩm định đầu tư phải thu được tính theo phương pháp nội suy như sau:</w:t>
      </w:r>
    </w:p>
    <w:p w:rsidR="005F5560" w:rsidRPr="007718E8" w:rsidRDefault="005F5560" w:rsidP="005F5560">
      <w:pPr>
        <w:spacing w:after="0" w:line="360" w:lineRule="auto"/>
        <w:jc w:val="both"/>
        <w:rPr>
          <w:rFonts w:ascii="Times New Roman" w:eastAsia="Times New Roman" w:hAnsi="Times New Roman"/>
          <w:color w:val="000000"/>
          <w:sz w:val="24"/>
          <w:szCs w:val="24"/>
        </w:rPr>
      </w:pPr>
      <w:r w:rsidRPr="007718E8">
        <w:rPr>
          <w:rFonts w:ascii="Times New Roman" w:eastAsia="Times New Roman" w:hAnsi="Times New Roman"/>
          <w:color w:val="000000"/>
          <w:sz w:val="24"/>
          <w:szCs w:val="24"/>
        </w:rPr>
        <w:t> </w:t>
      </w:r>
    </w:p>
    <w:tbl>
      <w:tblPr>
        <w:tblW w:w="0" w:type="auto"/>
        <w:tblCellMar>
          <w:left w:w="0" w:type="dxa"/>
          <w:right w:w="0" w:type="dxa"/>
        </w:tblCellMar>
        <w:tblLook w:val="04A0"/>
      </w:tblPr>
      <w:tblGrid>
        <w:gridCol w:w="924"/>
        <w:gridCol w:w="900"/>
        <w:gridCol w:w="1260"/>
        <w:gridCol w:w="1620"/>
      </w:tblGrid>
      <w:tr w:rsidR="005F5560" w:rsidRPr="007718E8" w:rsidTr="004273DE">
        <w:tc>
          <w:tcPr>
            <w:tcW w:w="924" w:type="dxa"/>
            <w:vMerge w:val="restart"/>
            <w:tcBorders>
              <w:top w:val="nil"/>
              <w:left w:val="nil"/>
              <w:bottom w:val="nil"/>
              <w:right w:val="nil"/>
            </w:tcBorders>
            <w:shd w:val="clear" w:color="auto" w:fill="auto"/>
            <w:tcMar>
              <w:top w:w="0" w:type="dxa"/>
              <w:left w:w="108" w:type="dxa"/>
              <w:bottom w:w="0" w:type="dxa"/>
              <w:right w:w="108" w:type="dxa"/>
            </w:tcMar>
            <w:vAlign w:val="center"/>
            <w:hideMark/>
          </w:tcPr>
          <w:p w:rsidR="005F5560" w:rsidRPr="007718E8" w:rsidRDefault="005F5560" w:rsidP="004273DE">
            <w:pPr>
              <w:spacing w:after="0" w:line="360" w:lineRule="auto"/>
              <w:jc w:val="both"/>
              <w:rPr>
                <w:rFonts w:ascii="Times New Roman" w:eastAsia="Times New Roman" w:hAnsi="Times New Roman"/>
                <w:color w:val="000000"/>
                <w:sz w:val="24"/>
                <w:szCs w:val="24"/>
              </w:rPr>
            </w:pPr>
            <w:r w:rsidRPr="007718E8">
              <w:rPr>
                <w:rFonts w:ascii="Times New Roman" w:eastAsia="Times New Roman" w:hAnsi="Times New Roman"/>
                <w:color w:val="000000"/>
                <w:sz w:val="24"/>
                <w:szCs w:val="24"/>
              </w:rPr>
              <w:t>N</w:t>
            </w:r>
            <w:r w:rsidRPr="007718E8">
              <w:rPr>
                <w:rFonts w:ascii="Times New Roman" w:eastAsia="Times New Roman" w:hAnsi="Times New Roman"/>
                <w:color w:val="000000"/>
                <w:sz w:val="24"/>
                <w:szCs w:val="24"/>
                <w:vertAlign w:val="subscript"/>
              </w:rPr>
              <w:t>it</w:t>
            </w:r>
            <w:r w:rsidRPr="007718E8">
              <w:rPr>
                <w:rFonts w:ascii="Times New Roman" w:eastAsia="Times New Roman" w:hAnsi="Times New Roman"/>
                <w:color w:val="000000"/>
                <w:sz w:val="24"/>
                <w:szCs w:val="24"/>
              </w:rPr>
              <w:t> =</w:t>
            </w:r>
          </w:p>
        </w:tc>
        <w:tc>
          <w:tcPr>
            <w:tcW w:w="900" w:type="dxa"/>
            <w:vMerge w:val="restart"/>
            <w:tcBorders>
              <w:top w:val="nil"/>
              <w:left w:val="nil"/>
              <w:bottom w:val="nil"/>
              <w:right w:val="nil"/>
            </w:tcBorders>
            <w:shd w:val="clear" w:color="auto" w:fill="auto"/>
            <w:tcMar>
              <w:top w:w="0" w:type="dxa"/>
              <w:left w:w="108" w:type="dxa"/>
              <w:bottom w:w="0" w:type="dxa"/>
              <w:right w:w="108" w:type="dxa"/>
            </w:tcMar>
            <w:vAlign w:val="center"/>
            <w:hideMark/>
          </w:tcPr>
          <w:p w:rsidR="005F5560" w:rsidRPr="007718E8" w:rsidRDefault="005F5560" w:rsidP="004273DE">
            <w:pPr>
              <w:spacing w:after="0" w:line="360" w:lineRule="auto"/>
              <w:jc w:val="both"/>
              <w:rPr>
                <w:rFonts w:ascii="Times New Roman" w:eastAsia="Times New Roman" w:hAnsi="Times New Roman"/>
                <w:color w:val="000000"/>
                <w:sz w:val="24"/>
                <w:szCs w:val="24"/>
              </w:rPr>
            </w:pPr>
            <w:r w:rsidRPr="007718E8">
              <w:rPr>
                <w:rFonts w:ascii="Times New Roman" w:eastAsia="Times New Roman" w:hAnsi="Times New Roman"/>
                <w:color w:val="000000"/>
                <w:sz w:val="24"/>
                <w:szCs w:val="24"/>
              </w:rPr>
              <w:t>N</w:t>
            </w:r>
            <w:r w:rsidRPr="007718E8">
              <w:rPr>
                <w:rFonts w:ascii="Times New Roman" w:eastAsia="Times New Roman" w:hAnsi="Times New Roman"/>
                <w:color w:val="000000"/>
                <w:sz w:val="24"/>
                <w:szCs w:val="24"/>
                <w:vertAlign w:val="subscript"/>
              </w:rPr>
              <w:t>ib</w:t>
            </w:r>
            <w:r w:rsidRPr="007718E8">
              <w:rPr>
                <w:rFonts w:ascii="Times New Roman" w:eastAsia="Times New Roman" w:hAnsi="Times New Roman"/>
                <w:color w:val="000000"/>
                <w:sz w:val="24"/>
                <w:szCs w:val="24"/>
              </w:rPr>
              <w:t> - {</w:t>
            </w:r>
          </w:p>
        </w:tc>
        <w:tc>
          <w:tcPr>
            <w:tcW w:w="1260" w:type="dxa"/>
            <w:tcBorders>
              <w:top w:val="nil"/>
              <w:left w:val="nil"/>
              <w:bottom w:val="single" w:sz="8" w:space="0" w:color="auto"/>
              <w:right w:val="nil"/>
            </w:tcBorders>
            <w:shd w:val="clear" w:color="auto" w:fill="auto"/>
            <w:tcMar>
              <w:top w:w="0" w:type="dxa"/>
              <w:left w:w="108" w:type="dxa"/>
              <w:bottom w:w="0" w:type="dxa"/>
              <w:right w:w="108" w:type="dxa"/>
            </w:tcMar>
            <w:vAlign w:val="center"/>
            <w:hideMark/>
          </w:tcPr>
          <w:p w:rsidR="005F5560" w:rsidRPr="007718E8" w:rsidRDefault="005F5560" w:rsidP="004273DE">
            <w:pPr>
              <w:spacing w:after="0" w:line="360" w:lineRule="auto"/>
              <w:jc w:val="both"/>
              <w:rPr>
                <w:rFonts w:ascii="Times New Roman" w:eastAsia="Times New Roman" w:hAnsi="Times New Roman"/>
                <w:color w:val="000000"/>
                <w:sz w:val="24"/>
                <w:szCs w:val="24"/>
              </w:rPr>
            </w:pPr>
            <w:r w:rsidRPr="007718E8">
              <w:rPr>
                <w:rFonts w:ascii="Times New Roman" w:eastAsia="Times New Roman" w:hAnsi="Times New Roman"/>
                <w:color w:val="000000"/>
                <w:sz w:val="24"/>
                <w:szCs w:val="24"/>
              </w:rPr>
              <w:t>N</w:t>
            </w:r>
            <w:r w:rsidRPr="007718E8">
              <w:rPr>
                <w:rFonts w:ascii="Times New Roman" w:eastAsia="Times New Roman" w:hAnsi="Times New Roman"/>
                <w:color w:val="000000"/>
                <w:sz w:val="24"/>
                <w:szCs w:val="24"/>
                <w:vertAlign w:val="subscript"/>
              </w:rPr>
              <w:t>ib</w:t>
            </w:r>
            <w:r w:rsidRPr="007718E8">
              <w:rPr>
                <w:rFonts w:ascii="Times New Roman" w:eastAsia="Times New Roman" w:hAnsi="Times New Roman"/>
                <w:color w:val="000000"/>
                <w:sz w:val="24"/>
                <w:szCs w:val="24"/>
              </w:rPr>
              <w:t> - N</w:t>
            </w:r>
            <w:r w:rsidRPr="007718E8">
              <w:rPr>
                <w:rFonts w:ascii="Times New Roman" w:eastAsia="Times New Roman" w:hAnsi="Times New Roman"/>
                <w:color w:val="000000"/>
                <w:sz w:val="24"/>
                <w:szCs w:val="24"/>
                <w:vertAlign w:val="subscript"/>
              </w:rPr>
              <w:t>ia</w:t>
            </w:r>
          </w:p>
        </w:tc>
        <w:tc>
          <w:tcPr>
            <w:tcW w:w="1620" w:type="dxa"/>
            <w:vMerge w:val="restart"/>
            <w:tcBorders>
              <w:top w:val="nil"/>
              <w:left w:val="nil"/>
              <w:bottom w:val="nil"/>
              <w:right w:val="nil"/>
            </w:tcBorders>
            <w:shd w:val="clear" w:color="auto" w:fill="auto"/>
            <w:tcMar>
              <w:top w:w="0" w:type="dxa"/>
              <w:left w:w="108" w:type="dxa"/>
              <w:bottom w:w="0" w:type="dxa"/>
              <w:right w:w="108" w:type="dxa"/>
            </w:tcMar>
            <w:vAlign w:val="center"/>
            <w:hideMark/>
          </w:tcPr>
          <w:p w:rsidR="005F5560" w:rsidRPr="007718E8" w:rsidRDefault="005F5560" w:rsidP="004273DE">
            <w:pPr>
              <w:spacing w:after="0" w:line="360" w:lineRule="auto"/>
              <w:jc w:val="both"/>
              <w:rPr>
                <w:rFonts w:ascii="Times New Roman" w:eastAsia="Times New Roman" w:hAnsi="Times New Roman"/>
                <w:color w:val="000000"/>
                <w:sz w:val="24"/>
                <w:szCs w:val="24"/>
              </w:rPr>
            </w:pPr>
            <w:r w:rsidRPr="007718E8">
              <w:rPr>
                <w:rFonts w:ascii="Times New Roman" w:eastAsia="Times New Roman" w:hAnsi="Times New Roman"/>
                <w:color w:val="000000"/>
                <w:sz w:val="24"/>
                <w:szCs w:val="24"/>
              </w:rPr>
              <w:t>x ( G</w:t>
            </w:r>
            <w:r w:rsidRPr="007718E8">
              <w:rPr>
                <w:rFonts w:ascii="Times New Roman" w:eastAsia="Times New Roman" w:hAnsi="Times New Roman"/>
                <w:color w:val="000000"/>
                <w:sz w:val="24"/>
                <w:szCs w:val="24"/>
                <w:vertAlign w:val="subscript"/>
              </w:rPr>
              <w:t>it</w:t>
            </w:r>
            <w:r w:rsidRPr="007718E8">
              <w:rPr>
                <w:rFonts w:ascii="Times New Roman" w:eastAsia="Times New Roman" w:hAnsi="Times New Roman"/>
                <w:color w:val="000000"/>
                <w:sz w:val="24"/>
                <w:szCs w:val="24"/>
              </w:rPr>
              <w:t> - G</w:t>
            </w:r>
            <w:r w:rsidRPr="007718E8">
              <w:rPr>
                <w:rFonts w:ascii="Times New Roman" w:eastAsia="Times New Roman" w:hAnsi="Times New Roman"/>
                <w:color w:val="000000"/>
                <w:sz w:val="24"/>
                <w:szCs w:val="24"/>
                <w:vertAlign w:val="subscript"/>
              </w:rPr>
              <w:t>ib</w:t>
            </w:r>
            <w:r w:rsidRPr="007718E8">
              <w:rPr>
                <w:rFonts w:ascii="Times New Roman" w:eastAsia="Times New Roman" w:hAnsi="Times New Roman"/>
                <w:color w:val="000000"/>
                <w:sz w:val="24"/>
                <w:szCs w:val="24"/>
              </w:rPr>
              <w:t> ) }</w:t>
            </w:r>
          </w:p>
        </w:tc>
      </w:tr>
      <w:tr w:rsidR="005F5560" w:rsidRPr="007718E8" w:rsidTr="004273DE">
        <w:tc>
          <w:tcPr>
            <w:tcW w:w="0" w:type="auto"/>
            <w:vMerge/>
            <w:tcBorders>
              <w:top w:val="nil"/>
              <w:left w:val="nil"/>
              <w:bottom w:val="nil"/>
              <w:right w:val="nil"/>
            </w:tcBorders>
            <w:vAlign w:val="center"/>
            <w:hideMark/>
          </w:tcPr>
          <w:p w:rsidR="005F5560" w:rsidRPr="007718E8" w:rsidRDefault="005F5560" w:rsidP="004273DE">
            <w:pPr>
              <w:spacing w:after="0" w:line="360" w:lineRule="auto"/>
              <w:jc w:val="both"/>
              <w:rPr>
                <w:rFonts w:ascii="Times New Roman" w:eastAsia="Times New Roman" w:hAnsi="Times New Roman"/>
                <w:color w:val="000000"/>
                <w:sz w:val="24"/>
                <w:szCs w:val="24"/>
              </w:rPr>
            </w:pPr>
          </w:p>
        </w:tc>
        <w:tc>
          <w:tcPr>
            <w:tcW w:w="0" w:type="auto"/>
            <w:vMerge/>
            <w:tcBorders>
              <w:top w:val="nil"/>
              <w:left w:val="nil"/>
              <w:bottom w:val="nil"/>
              <w:right w:val="nil"/>
            </w:tcBorders>
            <w:vAlign w:val="center"/>
            <w:hideMark/>
          </w:tcPr>
          <w:p w:rsidR="005F5560" w:rsidRPr="007718E8" w:rsidRDefault="005F5560" w:rsidP="004273DE">
            <w:pPr>
              <w:spacing w:after="0" w:line="360" w:lineRule="auto"/>
              <w:jc w:val="both"/>
              <w:rPr>
                <w:rFonts w:ascii="Times New Roman" w:eastAsia="Times New Roman" w:hAnsi="Times New Roman"/>
                <w:color w:val="000000"/>
                <w:sz w:val="24"/>
                <w:szCs w:val="24"/>
              </w:rPr>
            </w:pPr>
          </w:p>
        </w:tc>
        <w:tc>
          <w:tcPr>
            <w:tcW w:w="1260" w:type="dxa"/>
            <w:tcBorders>
              <w:top w:val="nil"/>
              <w:left w:val="nil"/>
              <w:bottom w:val="nil"/>
              <w:right w:val="nil"/>
            </w:tcBorders>
            <w:shd w:val="clear" w:color="auto" w:fill="auto"/>
            <w:tcMar>
              <w:top w:w="0" w:type="dxa"/>
              <w:left w:w="108" w:type="dxa"/>
              <w:bottom w:w="0" w:type="dxa"/>
              <w:right w:w="108" w:type="dxa"/>
            </w:tcMar>
            <w:vAlign w:val="center"/>
            <w:hideMark/>
          </w:tcPr>
          <w:p w:rsidR="005F5560" w:rsidRPr="007718E8" w:rsidRDefault="005F5560" w:rsidP="004273DE">
            <w:pPr>
              <w:spacing w:after="0" w:line="360" w:lineRule="auto"/>
              <w:jc w:val="both"/>
              <w:rPr>
                <w:rFonts w:ascii="Times New Roman" w:eastAsia="Times New Roman" w:hAnsi="Times New Roman"/>
                <w:color w:val="000000"/>
                <w:sz w:val="24"/>
                <w:szCs w:val="24"/>
              </w:rPr>
            </w:pPr>
            <w:r w:rsidRPr="007718E8">
              <w:rPr>
                <w:rFonts w:ascii="Times New Roman" w:eastAsia="Times New Roman" w:hAnsi="Times New Roman"/>
                <w:color w:val="000000"/>
                <w:sz w:val="24"/>
                <w:szCs w:val="24"/>
              </w:rPr>
              <w:t>G</w:t>
            </w:r>
            <w:r w:rsidRPr="007718E8">
              <w:rPr>
                <w:rFonts w:ascii="Times New Roman" w:eastAsia="Times New Roman" w:hAnsi="Times New Roman"/>
                <w:color w:val="000000"/>
                <w:sz w:val="24"/>
                <w:szCs w:val="24"/>
                <w:vertAlign w:val="subscript"/>
              </w:rPr>
              <w:t>ia</w:t>
            </w:r>
            <w:r w:rsidRPr="007718E8">
              <w:rPr>
                <w:rFonts w:ascii="Times New Roman" w:eastAsia="Times New Roman" w:hAnsi="Times New Roman"/>
                <w:color w:val="000000"/>
                <w:sz w:val="24"/>
                <w:szCs w:val="24"/>
              </w:rPr>
              <w:t> - G</w:t>
            </w:r>
            <w:r w:rsidRPr="007718E8">
              <w:rPr>
                <w:rFonts w:ascii="Times New Roman" w:eastAsia="Times New Roman" w:hAnsi="Times New Roman"/>
                <w:color w:val="000000"/>
                <w:sz w:val="24"/>
                <w:szCs w:val="24"/>
                <w:vertAlign w:val="subscript"/>
              </w:rPr>
              <w:t>ib</w:t>
            </w:r>
          </w:p>
        </w:tc>
        <w:tc>
          <w:tcPr>
            <w:tcW w:w="0" w:type="auto"/>
            <w:vMerge/>
            <w:tcBorders>
              <w:top w:val="nil"/>
              <w:left w:val="nil"/>
              <w:bottom w:val="nil"/>
              <w:right w:val="nil"/>
            </w:tcBorders>
            <w:vAlign w:val="center"/>
            <w:hideMark/>
          </w:tcPr>
          <w:p w:rsidR="005F5560" w:rsidRPr="007718E8" w:rsidRDefault="005F5560" w:rsidP="004273DE">
            <w:pPr>
              <w:spacing w:after="0" w:line="360" w:lineRule="auto"/>
              <w:jc w:val="both"/>
              <w:rPr>
                <w:rFonts w:ascii="Times New Roman" w:eastAsia="Times New Roman" w:hAnsi="Times New Roman"/>
                <w:color w:val="000000"/>
                <w:sz w:val="24"/>
                <w:szCs w:val="24"/>
              </w:rPr>
            </w:pPr>
          </w:p>
        </w:tc>
      </w:tr>
    </w:tbl>
    <w:p w:rsidR="005F5560" w:rsidRPr="007718E8" w:rsidRDefault="005F5560" w:rsidP="005F5560">
      <w:pPr>
        <w:spacing w:after="0" w:line="360" w:lineRule="auto"/>
        <w:jc w:val="both"/>
        <w:rPr>
          <w:rFonts w:ascii="Times New Roman" w:eastAsia="Times New Roman" w:hAnsi="Times New Roman"/>
          <w:color w:val="000000"/>
          <w:sz w:val="24"/>
          <w:szCs w:val="24"/>
        </w:rPr>
      </w:pPr>
      <w:r w:rsidRPr="007718E8">
        <w:rPr>
          <w:rFonts w:ascii="Times New Roman" w:eastAsia="Times New Roman" w:hAnsi="Times New Roman"/>
          <w:color w:val="000000"/>
          <w:sz w:val="24"/>
          <w:szCs w:val="24"/>
        </w:rPr>
        <w:t> </w:t>
      </w:r>
    </w:p>
    <w:p w:rsidR="005F5560" w:rsidRPr="007718E8" w:rsidRDefault="005F5560" w:rsidP="005F5560">
      <w:pPr>
        <w:spacing w:after="120" w:line="360" w:lineRule="auto"/>
        <w:ind w:firstLine="720"/>
        <w:jc w:val="both"/>
        <w:rPr>
          <w:rFonts w:ascii="Times New Roman" w:eastAsia="Times New Roman" w:hAnsi="Times New Roman"/>
          <w:color w:val="000000"/>
          <w:sz w:val="24"/>
          <w:szCs w:val="24"/>
        </w:rPr>
      </w:pPr>
      <w:r w:rsidRPr="007718E8">
        <w:rPr>
          <w:rFonts w:ascii="Times New Roman" w:eastAsia="Times New Roman" w:hAnsi="Times New Roman"/>
          <w:color w:val="000000"/>
          <w:sz w:val="24"/>
          <w:szCs w:val="24"/>
        </w:rPr>
        <w:t>Trong đó:</w:t>
      </w:r>
    </w:p>
    <w:p w:rsidR="005F5560" w:rsidRPr="007718E8" w:rsidRDefault="005F5560" w:rsidP="005F5560">
      <w:pPr>
        <w:spacing w:after="120" w:line="360" w:lineRule="auto"/>
        <w:ind w:firstLine="720"/>
        <w:jc w:val="both"/>
        <w:rPr>
          <w:rFonts w:ascii="Times New Roman" w:eastAsia="Times New Roman" w:hAnsi="Times New Roman"/>
          <w:color w:val="000000"/>
          <w:sz w:val="24"/>
          <w:szCs w:val="24"/>
        </w:rPr>
      </w:pPr>
      <w:r w:rsidRPr="007718E8">
        <w:rPr>
          <w:rFonts w:ascii="Times New Roman" w:eastAsia="Times New Roman" w:hAnsi="Times New Roman"/>
          <w:color w:val="000000"/>
          <w:sz w:val="24"/>
          <w:szCs w:val="24"/>
        </w:rPr>
        <w:t>+ N</w:t>
      </w:r>
      <w:r w:rsidRPr="007718E8">
        <w:rPr>
          <w:rFonts w:ascii="Times New Roman" w:eastAsia="Times New Roman" w:hAnsi="Times New Roman"/>
          <w:color w:val="000000"/>
          <w:sz w:val="24"/>
          <w:szCs w:val="24"/>
          <w:vertAlign w:val="subscript"/>
        </w:rPr>
        <w:t>it</w:t>
      </w:r>
      <w:r w:rsidRPr="007718E8">
        <w:rPr>
          <w:rFonts w:ascii="Times New Roman" w:eastAsia="Times New Roman" w:hAnsi="Times New Roman"/>
          <w:color w:val="000000"/>
          <w:sz w:val="24"/>
          <w:szCs w:val="24"/>
        </w:rPr>
        <w:t xml:space="preserve"> là phí thẩm định cho nhóm dự </w:t>
      </w:r>
      <w:proofErr w:type="gramStart"/>
      <w:r w:rsidRPr="007718E8">
        <w:rPr>
          <w:rFonts w:ascii="Times New Roman" w:eastAsia="Times New Roman" w:hAnsi="Times New Roman"/>
          <w:color w:val="000000"/>
          <w:sz w:val="24"/>
          <w:szCs w:val="24"/>
        </w:rPr>
        <w:t>án</w:t>
      </w:r>
      <w:proofErr w:type="gramEnd"/>
      <w:r w:rsidRPr="007718E8">
        <w:rPr>
          <w:rFonts w:ascii="Times New Roman" w:eastAsia="Times New Roman" w:hAnsi="Times New Roman"/>
          <w:color w:val="000000"/>
          <w:sz w:val="24"/>
          <w:szCs w:val="24"/>
        </w:rPr>
        <w:t xml:space="preserve"> thứ i theo quy mô giá trị cần tính (đơn vị tính: %).</w:t>
      </w:r>
    </w:p>
    <w:p w:rsidR="005F5560" w:rsidRPr="007718E8" w:rsidRDefault="005F5560" w:rsidP="005F5560">
      <w:pPr>
        <w:spacing w:after="120" w:line="360" w:lineRule="auto"/>
        <w:ind w:firstLine="720"/>
        <w:jc w:val="both"/>
        <w:rPr>
          <w:rFonts w:ascii="Times New Roman" w:eastAsia="Times New Roman" w:hAnsi="Times New Roman"/>
          <w:color w:val="000000"/>
          <w:sz w:val="24"/>
          <w:szCs w:val="24"/>
        </w:rPr>
      </w:pPr>
      <w:r w:rsidRPr="007718E8">
        <w:rPr>
          <w:rFonts w:ascii="Times New Roman" w:eastAsia="Times New Roman" w:hAnsi="Times New Roman"/>
          <w:color w:val="000000"/>
          <w:sz w:val="24"/>
          <w:szCs w:val="24"/>
        </w:rPr>
        <w:t>+ G</w:t>
      </w:r>
      <w:r w:rsidRPr="007718E8">
        <w:rPr>
          <w:rFonts w:ascii="Times New Roman" w:eastAsia="Times New Roman" w:hAnsi="Times New Roman"/>
          <w:color w:val="000000"/>
          <w:sz w:val="24"/>
          <w:szCs w:val="24"/>
          <w:vertAlign w:val="subscript"/>
        </w:rPr>
        <w:t>it</w:t>
      </w:r>
      <w:r w:rsidRPr="007718E8">
        <w:rPr>
          <w:rFonts w:ascii="Times New Roman" w:eastAsia="Times New Roman" w:hAnsi="Times New Roman"/>
          <w:color w:val="000000"/>
          <w:sz w:val="24"/>
          <w:szCs w:val="24"/>
        </w:rPr>
        <w:t xml:space="preserve"> là quy mô giá trị của nhóm dự </w:t>
      </w:r>
      <w:proofErr w:type="gramStart"/>
      <w:r w:rsidRPr="007718E8">
        <w:rPr>
          <w:rFonts w:ascii="Times New Roman" w:eastAsia="Times New Roman" w:hAnsi="Times New Roman"/>
          <w:color w:val="000000"/>
          <w:sz w:val="24"/>
          <w:szCs w:val="24"/>
        </w:rPr>
        <w:t>án</w:t>
      </w:r>
      <w:proofErr w:type="gramEnd"/>
      <w:r w:rsidRPr="007718E8">
        <w:rPr>
          <w:rFonts w:ascii="Times New Roman" w:eastAsia="Times New Roman" w:hAnsi="Times New Roman"/>
          <w:color w:val="000000"/>
          <w:sz w:val="24"/>
          <w:szCs w:val="24"/>
        </w:rPr>
        <w:t xml:space="preserve"> thứ i cần tính phí thẩm định đầu tư (đơn vị tính: giá trị công trình).</w:t>
      </w:r>
    </w:p>
    <w:p w:rsidR="005F5560" w:rsidRPr="007718E8" w:rsidRDefault="005F5560" w:rsidP="005F5560">
      <w:pPr>
        <w:spacing w:after="120" w:line="360" w:lineRule="auto"/>
        <w:ind w:firstLine="720"/>
        <w:jc w:val="both"/>
        <w:rPr>
          <w:rFonts w:ascii="Times New Roman" w:eastAsia="Times New Roman" w:hAnsi="Times New Roman"/>
          <w:color w:val="000000"/>
          <w:sz w:val="24"/>
          <w:szCs w:val="24"/>
        </w:rPr>
      </w:pPr>
      <w:r w:rsidRPr="007718E8">
        <w:rPr>
          <w:rFonts w:ascii="Times New Roman" w:eastAsia="Times New Roman" w:hAnsi="Times New Roman"/>
          <w:color w:val="000000"/>
          <w:sz w:val="24"/>
          <w:szCs w:val="24"/>
        </w:rPr>
        <w:t>+ G</w:t>
      </w:r>
      <w:r w:rsidRPr="007718E8">
        <w:rPr>
          <w:rFonts w:ascii="Times New Roman" w:eastAsia="Times New Roman" w:hAnsi="Times New Roman"/>
          <w:color w:val="000000"/>
          <w:sz w:val="24"/>
          <w:szCs w:val="24"/>
          <w:vertAlign w:val="subscript"/>
        </w:rPr>
        <w:t>ia</w:t>
      </w:r>
      <w:r w:rsidRPr="007718E8">
        <w:rPr>
          <w:rFonts w:ascii="Times New Roman" w:eastAsia="Times New Roman" w:hAnsi="Times New Roman"/>
          <w:color w:val="000000"/>
          <w:sz w:val="24"/>
          <w:szCs w:val="24"/>
        </w:rPr>
        <w:t> là quy mô giá trị cận trên quy mô giá trị cần tính phí thẩm định (đơn vị tính: giá trị công trình).</w:t>
      </w:r>
    </w:p>
    <w:p w:rsidR="005F5560" w:rsidRPr="007718E8" w:rsidRDefault="005F5560" w:rsidP="005F5560">
      <w:pPr>
        <w:spacing w:after="120" w:line="360" w:lineRule="auto"/>
        <w:ind w:firstLine="720"/>
        <w:jc w:val="both"/>
        <w:rPr>
          <w:rFonts w:ascii="Times New Roman" w:eastAsia="Times New Roman" w:hAnsi="Times New Roman"/>
          <w:color w:val="000000"/>
          <w:sz w:val="24"/>
          <w:szCs w:val="24"/>
        </w:rPr>
      </w:pPr>
      <w:r w:rsidRPr="007718E8">
        <w:rPr>
          <w:rFonts w:ascii="Times New Roman" w:eastAsia="Times New Roman" w:hAnsi="Times New Roman"/>
          <w:color w:val="000000"/>
          <w:sz w:val="24"/>
          <w:szCs w:val="24"/>
        </w:rPr>
        <w:t>+ G</w:t>
      </w:r>
      <w:r w:rsidRPr="007718E8">
        <w:rPr>
          <w:rFonts w:ascii="Times New Roman" w:eastAsia="Times New Roman" w:hAnsi="Times New Roman"/>
          <w:color w:val="000000"/>
          <w:sz w:val="24"/>
          <w:szCs w:val="24"/>
          <w:vertAlign w:val="subscript"/>
        </w:rPr>
        <w:t>ib</w:t>
      </w:r>
      <w:r w:rsidRPr="007718E8">
        <w:rPr>
          <w:rFonts w:ascii="Times New Roman" w:eastAsia="Times New Roman" w:hAnsi="Times New Roman"/>
          <w:color w:val="000000"/>
          <w:sz w:val="24"/>
          <w:szCs w:val="24"/>
        </w:rPr>
        <w:t> là quy mô giá trị cận dưới quy mô giá trị cần tính phí thẩm định (đơn vị tính: giá trị công trình).</w:t>
      </w:r>
    </w:p>
    <w:p w:rsidR="005F5560" w:rsidRPr="007718E8" w:rsidRDefault="005F5560" w:rsidP="005F5560">
      <w:pPr>
        <w:spacing w:after="120" w:line="360" w:lineRule="auto"/>
        <w:ind w:firstLine="720"/>
        <w:jc w:val="both"/>
        <w:rPr>
          <w:rFonts w:ascii="Times New Roman" w:eastAsia="Times New Roman" w:hAnsi="Times New Roman"/>
          <w:color w:val="000000"/>
          <w:sz w:val="24"/>
          <w:szCs w:val="24"/>
        </w:rPr>
      </w:pPr>
      <w:r w:rsidRPr="007718E8">
        <w:rPr>
          <w:rFonts w:ascii="Times New Roman" w:eastAsia="Times New Roman" w:hAnsi="Times New Roman"/>
          <w:color w:val="000000"/>
          <w:sz w:val="24"/>
          <w:szCs w:val="24"/>
        </w:rPr>
        <w:t>+ N</w:t>
      </w:r>
      <w:r w:rsidRPr="007718E8">
        <w:rPr>
          <w:rFonts w:ascii="Times New Roman" w:eastAsia="Times New Roman" w:hAnsi="Times New Roman"/>
          <w:color w:val="000000"/>
          <w:sz w:val="24"/>
          <w:szCs w:val="24"/>
          <w:vertAlign w:val="subscript"/>
        </w:rPr>
        <w:t>ia</w:t>
      </w:r>
      <w:r w:rsidRPr="007718E8">
        <w:rPr>
          <w:rFonts w:ascii="Times New Roman" w:eastAsia="Times New Roman" w:hAnsi="Times New Roman"/>
          <w:color w:val="000000"/>
          <w:sz w:val="24"/>
          <w:szCs w:val="24"/>
        </w:rPr>
        <w:t xml:space="preserve"> là phí thẩm định cho nhóm dự </w:t>
      </w:r>
      <w:proofErr w:type="gramStart"/>
      <w:r w:rsidRPr="007718E8">
        <w:rPr>
          <w:rFonts w:ascii="Times New Roman" w:eastAsia="Times New Roman" w:hAnsi="Times New Roman"/>
          <w:color w:val="000000"/>
          <w:sz w:val="24"/>
          <w:szCs w:val="24"/>
        </w:rPr>
        <w:t>án</w:t>
      </w:r>
      <w:proofErr w:type="gramEnd"/>
      <w:r w:rsidRPr="007718E8">
        <w:rPr>
          <w:rFonts w:ascii="Times New Roman" w:eastAsia="Times New Roman" w:hAnsi="Times New Roman"/>
          <w:color w:val="000000"/>
          <w:sz w:val="24"/>
          <w:szCs w:val="24"/>
        </w:rPr>
        <w:t xml:space="preserve"> thứ i tương ứng G</w:t>
      </w:r>
      <w:r w:rsidRPr="007718E8">
        <w:rPr>
          <w:rFonts w:ascii="Times New Roman" w:eastAsia="Times New Roman" w:hAnsi="Times New Roman"/>
          <w:color w:val="000000"/>
          <w:sz w:val="24"/>
          <w:szCs w:val="24"/>
          <w:vertAlign w:val="subscript"/>
        </w:rPr>
        <w:t>ia</w:t>
      </w:r>
      <w:r w:rsidRPr="007718E8">
        <w:rPr>
          <w:rFonts w:ascii="Times New Roman" w:eastAsia="Times New Roman" w:hAnsi="Times New Roman"/>
          <w:color w:val="000000"/>
          <w:sz w:val="24"/>
          <w:szCs w:val="24"/>
        </w:rPr>
        <w:t> (đơn vị tính: %).</w:t>
      </w:r>
    </w:p>
    <w:p w:rsidR="005F5560" w:rsidRPr="007718E8" w:rsidRDefault="005F5560" w:rsidP="005F5560">
      <w:pPr>
        <w:spacing w:after="120" w:line="360" w:lineRule="auto"/>
        <w:ind w:firstLine="720"/>
        <w:jc w:val="both"/>
        <w:rPr>
          <w:rFonts w:ascii="Times New Roman" w:eastAsia="Times New Roman" w:hAnsi="Times New Roman"/>
          <w:color w:val="000000"/>
          <w:sz w:val="24"/>
          <w:szCs w:val="24"/>
        </w:rPr>
      </w:pPr>
      <w:r w:rsidRPr="007718E8">
        <w:rPr>
          <w:rFonts w:ascii="Times New Roman" w:eastAsia="Times New Roman" w:hAnsi="Times New Roman"/>
          <w:color w:val="000000"/>
          <w:sz w:val="24"/>
          <w:szCs w:val="24"/>
        </w:rPr>
        <w:t>+ N</w:t>
      </w:r>
      <w:r w:rsidRPr="007718E8">
        <w:rPr>
          <w:rFonts w:ascii="Times New Roman" w:eastAsia="Times New Roman" w:hAnsi="Times New Roman"/>
          <w:color w:val="000000"/>
          <w:sz w:val="24"/>
          <w:szCs w:val="24"/>
          <w:vertAlign w:val="subscript"/>
        </w:rPr>
        <w:t>ib</w:t>
      </w:r>
      <w:r w:rsidRPr="007718E8">
        <w:rPr>
          <w:rFonts w:ascii="Times New Roman" w:eastAsia="Times New Roman" w:hAnsi="Times New Roman"/>
          <w:color w:val="000000"/>
          <w:sz w:val="24"/>
          <w:szCs w:val="24"/>
        </w:rPr>
        <w:t xml:space="preserve"> là phí thẩm định cho nhóm dự </w:t>
      </w:r>
      <w:proofErr w:type="gramStart"/>
      <w:r w:rsidRPr="007718E8">
        <w:rPr>
          <w:rFonts w:ascii="Times New Roman" w:eastAsia="Times New Roman" w:hAnsi="Times New Roman"/>
          <w:color w:val="000000"/>
          <w:sz w:val="24"/>
          <w:szCs w:val="24"/>
        </w:rPr>
        <w:t>án</w:t>
      </w:r>
      <w:proofErr w:type="gramEnd"/>
      <w:r w:rsidRPr="007718E8">
        <w:rPr>
          <w:rFonts w:ascii="Times New Roman" w:eastAsia="Times New Roman" w:hAnsi="Times New Roman"/>
          <w:color w:val="000000"/>
          <w:sz w:val="24"/>
          <w:szCs w:val="24"/>
        </w:rPr>
        <w:t xml:space="preserve"> thứ i tương ứng G</w:t>
      </w:r>
      <w:r w:rsidRPr="007718E8">
        <w:rPr>
          <w:rFonts w:ascii="Times New Roman" w:eastAsia="Times New Roman" w:hAnsi="Times New Roman"/>
          <w:color w:val="000000"/>
          <w:sz w:val="24"/>
          <w:szCs w:val="24"/>
          <w:vertAlign w:val="subscript"/>
        </w:rPr>
        <w:t>ib</w:t>
      </w:r>
      <w:r w:rsidRPr="007718E8">
        <w:rPr>
          <w:rFonts w:ascii="Times New Roman" w:eastAsia="Times New Roman" w:hAnsi="Times New Roman"/>
          <w:color w:val="000000"/>
          <w:sz w:val="24"/>
          <w:szCs w:val="24"/>
        </w:rPr>
        <w:t> (đơn vị tính: %).</w:t>
      </w:r>
    </w:p>
    <w:p w:rsidR="005F5560" w:rsidRPr="007718E8" w:rsidRDefault="005F5560" w:rsidP="005F5560">
      <w:pPr>
        <w:spacing w:after="120" w:line="360" w:lineRule="auto"/>
        <w:ind w:firstLine="720"/>
        <w:jc w:val="both"/>
        <w:rPr>
          <w:rFonts w:ascii="Times New Roman" w:eastAsia="Times New Roman" w:hAnsi="Times New Roman"/>
          <w:color w:val="000000"/>
          <w:sz w:val="24"/>
          <w:szCs w:val="24"/>
        </w:rPr>
      </w:pPr>
      <w:r w:rsidRPr="007718E8">
        <w:rPr>
          <w:rFonts w:ascii="Times New Roman" w:eastAsia="Times New Roman" w:hAnsi="Times New Roman"/>
          <w:color w:val="000000"/>
          <w:sz w:val="24"/>
          <w:szCs w:val="24"/>
        </w:rPr>
        <w:t xml:space="preserve">Trong đó mức </w:t>
      </w:r>
      <w:proofErr w:type="gramStart"/>
      <w:r w:rsidRPr="007718E8">
        <w:rPr>
          <w:rFonts w:ascii="Times New Roman" w:eastAsia="Times New Roman" w:hAnsi="Times New Roman"/>
          <w:color w:val="000000"/>
          <w:sz w:val="24"/>
          <w:szCs w:val="24"/>
        </w:rPr>
        <w:t>thu</w:t>
      </w:r>
      <w:proofErr w:type="gramEnd"/>
      <w:r w:rsidRPr="007718E8">
        <w:rPr>
          <w:rFonts w:ascii="Times New Roman" w:eastAsia="Times New Roman" w:hAnsi="Times New Roman"/>
          <w:color w:val="000000"/>
          <w:sz w:val="24"/>
          <w:szCs w:val="24"/>
        </w:rPr>
        <w:t xml:space="preserve"> theo tổng vốn đầu tư dự án được quy định tại Biểu mức thu phí ban hành kèm theo Thông tư này.</w:t>
      </w:r>
    </w:p>
    <w:p w:rsidR="005F5560" w:rsidRPr="007718E8" w:rsidRDefault="005F5560" w:rsidP="005F5560">
      <w:pPr>
        <w:spacing w:after="120" w:line="360" w:lineRule="auto"/>
        <w:ind w:firstLine="720"/>
        <w:jc w:val="both"/>
        <w:rPr>
          <w:rFonts w:ascii="Times New Roman" w:eastAsia="Times New Roman" w:hAnsi="Times New Roman"/>
          <w:color w:val="000000"/>
          <w:sz w:val="24"/>
          <w:szCs w:val="24"/>
        </w:rPr>
      </w:pPr>
      <w:r w:rsidRPr="007718E8">
        <w:rPr>
          <w:rFonts w:ascii="Times New Roman" w:eastAsia="Times New Roman" w:hAnsi="Times New Roman"/>
          <w:color w:val="000000"/>
          <w:sz w:val="24"/>
          <w:szCs w:val="24"/>
        </w:rPr>
        <w:t xml:space="preserve">b) Số phí thẩm định dự </w:t>
      </w:r>
      <w:proofErr w:type="gramStart"/>
      <w:r w:rsidRPr="007718E8">
        <w:rPr>
          <w:rFonts w:ascii="Times New Roman" w:eastAsia="Times New Roman" w:hAnsi="Times New Roman"/>
          <w:color w:val="000000"/>
          <w:sz w:val="24"/>
          <w:szCs w:val="24"/>
        </w:rPr>
        <w:t>án</w:t>
      </w:r>
      <w:proofErr w:type="gramEnd"/>
      <w:r w:rsidRPr="007718E8">
        <w:rPr>
          <w:rFonts w:ascii="Times New Roman" w:eastAsia="Times New Roman" w:hAnsi="Times New Roman"/>
          <w:color w:val="000000"/>
          <w:sz w:val="24"/>
          <w:szCs w:val="24"/>
        </w:rPr>
        <w:t xml:space="preserve"> đầu tư xây dựng phải thu đối với một dự án đầu tư được xác định theo hướng dẫn tại điểm a, khoản này nhưng được khống chế tối đa như sau:</w:t>
      </w:r>
    </w:p>
    <w:p w:rsidR="005F5560" w:rsidRPr="007718E8" w:rsidRDefault="005F5560" w:rsidP="005F5560">
      <w:pPr>
        <w:spacing w:after="120" w:line="360" w:lineRule="auto"/>
        <w:ind w:firstLine="720"/>
        <w:jc w:val="both"/>
        <w:rPr>
          <w:rFonts w:ascii="Times New Roman" w:eastAsia="Times New Roman" w:hAnsi="Times New Roman"/>
          <w:color w:val="000000"/>
          <w:sz w:val="24"/>
          <w:szCs w:val="24"/>
        </w:rPr>
      </w:pPr>
      <w:r w:rsidRPr="007718E8">
        <w:rPr>
          <w:rFonts w:ascii="Times New Roman" w:eastAsia="Times New Roman" w:hAnsi="Times New Roman"/>
          <w:color w:val="000000"/>
          <w:sz w:val="24"/>
          <w:szCs w:val="24"/>
        </w:rPr>
        <w:t xml:space="preserve">Phí thẩm định dự án đầu tư xây dựng phải </w:t>
      </w:r>
      <w:proofErr w:type="gramStart"/>
      <w:r w:rsidRPr="007718E8">
        <w:rPr>
          <w:rFonts w:ascii="Times New Roman" w:eastAsia="Times New Roman" w:hAnsi="Times New Roman"/>
          <w:color w:val="000000"/>
          <w:sz w:val="24"/>
          <w:szCs w:val="24"/>
        </w:rPr>
        <w:t>thu</w:t>
      </w:r>
      <w:proofErr w:type="gramEnd"/>
      <w:r w:rsidRPr="007718E8">
        <w:rPr>
          <w:rFonts w:ascii="Times New Roman" w:eastAsia="Times New Roman" w:hAnsi="Times New Roman"/>
          <w:color w:val="000000"/>
          <w:sz w:val="24"/>
          <w:szCs w:val="24"/>
        </w:rPr>
        <w:t xml:space="preserve"> tối đa không quá 150.000.000 (Một trăm năm mươi triệu) đồng/dự án.</w:t>
      </w:r>
    </w:p>
    <w:p w:rsidR="005F5560" w:rsidRPr="007718E8" w:rsidRDefault="005F5560" w:rsidP="005F5560">
      <w:pPr>
        <w:spacing w:after="120" w:line="360" w:lineRule="auto"/>
        <w:ind w:firstLine="720"/>
        <w:jc w:val="both"/>
        <w:rPr>
          <w:rFonts w:ascii="Times New Roman" w:eastAsia="Times New Roman" w:hAnsi="Times New Roman"/>
          <w:color w:val="000000"/>
          <w:sz w:val="24"/>
          <w:szCs w:val="24"/>
        </w:rPr>
      </w:pPr>
      <w:r w:rsidRPr="007718E8">
        <w:rPr>
          <w:rFonts w:ascii="Times New Roman" w:eastAsia="Times New Roman" w:hAnsi="Times New Roman"/>
          <w:color w:val="000000"/>
          <w:sz w:val="24"/>
          <w:szCs w:val="24"/>
        </w:rPr>
        <w:t>Trường hợp đặc biệt, Bộ Xây dựng có đề án đề nghị Bộ Tài chính xem xét, quyết định số tiền phí thẩm định dự án đầu tư xây dựng phải thu đối với từng dự án cụ thể.</w:t>
      </w:r>
    </w:p>
    <w:p w:rsidR="005F5560" w:rsidRPr="007718E8" w:rsidRDefault="005F5560" w:rsidP="005F5560">
      <w:pPr>
        <w:spacing w:after="120" w:line="360" w:lineRule="auto"/>
        <w:ind w:firstLine="720"/>
        <w:jc w:val="both"/>
        <w:rPr>
          <w:rFonts w:ascii="Times New Roman" w:eastAsia="Times New Roman" w:hAnsi="Times New Roman"/>
          <w:color w:val="000000"/>
          <w:sz w:val="24"/>
          <w:szCs w:val="24"/>
        </w:rPr>
      </w:pPr>
      <w:r w:rsidRPr="007718E8">
        <w:rPr>
          <w:rFonts w:ascii="Times New Roman" w:eastAsia="Times New Roman" w:hAnsi="Times New Roman"/>
          <w:color w:val="000000"/>
          <w:sz w:val="24"/>
          <w:szCs w:val="24"/>
        </w:rPr>
        <w:t>c) Số phí thẩm định dự án đầu tư xây dựng đối với khu đô thị mới được xác định theo hướng dẫn tại điểm a, khoản này, trong đó tổng mức đầu tư được phê duyệt làm căn cứ tính thu phí không bao gồm chi phí bồi thường giải phóng mặt bằng, hỗ trợ và tái định cư đã được phê duyệt trong dự án.</w:t>
      </w:r>
    </w:p>
    <w:p w:rsidR="005F5560" w:rsidRPr="007718E8" w:rsidRDefault="005F5560" w:rsidP="005F5560">
      <w:pPr>
        <w:spacing w:after="120" w:line="360" w:lineRule="auto"/>
        <w:ind w:firstLine="720"/>
        <w:jc w:val="both"/>
        <w:rPr>
          <w:rFonts w:ascii="Times New Roman" w:eastAsia="Times New Roman" w:hAnsi="Times New Roman"/>
          <w:color w:val="000000"/>
          <w:sz w:val="24"/>
          <w:szCs w:val="24"/>
        </w:rPr>
      </w:pPr>
      <w:r w:rsidRPr="007718E8">
        <w:rPr>
          <w:rFonts w:ascii="Times New Roman" w:eastAsia="Times New Roman" w:hAnsi="Times New Roman"/>
          <w:color w:val="000000"/>
          <w:sz w:val="24"/>
          <w:szCs w:val="24"/>
        </w:rPr>
        <w:t xml:space="preserve">d) Phí thẩm định Báo cáo kinh tế - kỹ thuật (phí thẩm định dự án đầu tư xây dựng với quy mô nhỏ) đối với các công trình sử dụng vốn ngân sách nhà nước được xác định </w:t>
      </w:r>
      <w:proofErr w:type="gramStart"/>
      <w:r w:rsidRPr="007718E8">
        <w:rPr>
          <w:rFonts w:ascii="Times New Roman" w:eastAsia="Times New Roman" w:hAnsi="Times New Roman"/>
          <w:color w:val="000000"/>
          <w:sz w:val="24"/>
          <w:szCs w:val="24"/>
        </w:rPr>
        <w:t>theo</w:t>
      </w:r>
      <w:proofErr w:type="gramEnd"/>
      <w:r w:rsidRPr="007718E8">
        <w:rPr>
          <w:rFonts w:ascii="Times New Roman" w:eastAsia="Times New Roman" w:hAnsi="Times New Roman"/>
          <w:color w:val="000000"/>
          <w:sz w:val="24"/>
          <w:szCs w:val="24"/>
        </w:rPr>
        <w:t xml:space="preserve"> hướng dẫn tại điểm a, khoản này.</w:t>
      </w:r>
    </w:p>
    <w:p w:rsidR="005F5560" w:rsidRPr="007718E8" w:rsidRDefault="005F5560" w:rsidP="005F5560">
      <w:pPr>
        <w:spacing w:after="120" w:line="360" w:lineRule="auto"/>
        <w:ind w:firstLine="720"/>
        <w:jc w:val="both"/>
        <w:rPr>
          <w:rFonts w:ascii="Times New Roman" w:eastAsia="Times New Roman" w:hAnsi="Times New Roman"/>
          <w:color w:val="000000"/>
          <w:sz w:val="24"/>
          <w:szCs w:val="24"/>
        </w:rPr>
      </w:pPr>
      <w:r w:rsidRPr="007718E8">
        <w:rPr>
          <w:rFonts w:ascii="Times New Roman" w:eastAsia="Times New Roman" w:hAnsi="Times New Roman"/>
          <w:color w:val="000000"/>
          <w:sz w:val="24"/>
          <w:szCs w:val="24"/>
        </w:rPr>
        <w:t xml:space="preserve">2. Đối với những dự án đầu tư quy định phải được cơ quan nhà nước có thẩm quyền thẩm định, nhưng cơ quan nhà nước không đủ điều kiện thẩm định mà phải thuê chuyên gia, tư vấn thẩm định thì chi phí thuê chuyên gia, tư vấn thẩm định thực hiện theo quy định của Bộ Xây dựng. Trong trường hợp này, cơ quan nhà nước chỉ được </w:t>
      </w:r>
      <w:proofErr w:type="gramStart"/>
      <w:r w:rsidRPr="007718E8">
        <w:rPr>
          <w:rFonts w:ascii="Times New Roman" w:eastAsia="Times New Roman" w:hAnsi="Times New Roman"/>
          <w:color w:val="000000"/>
          <w:sz w:val="24"/>
          <w:szCs w:val="24"/>
        </w:rPr>
        <w:t>thu</w:t>
      </w:r>
      <w:proofErr w:type="gramEnd"/>
      <w:r w:rsidRPr="007718E8">
        <w:rPr>
          <w:rFonts w:ascii="Times New Roman" w:eastAsia="Times New Roman" w:hAnsi="Times New Roman"/>
          <w:color w:val="000000"/>
          <w:sz w:val="24"/>
          <w:szCs w:val="24"/>
        </w:rPr>
        <w:t xml:space="preserve"> phí bằng 50% (năm mươi phần trăm) mức thu phí tương ứng quy định tại Biểu mức thu ban hành kèm theo Thông tư này.</w:t>
      </w:r>
    </w:p>
    <w:p w:rsidR="005F5560" w:rsidRPr="007718E8" w:rsidRDefault="005F5560" w:rsidP="005F5560">
      <w:pPr>
        <w:spacing w:after="120" w:line="360" w:lineRule="auto"/>
        <w:ind w:firstLine="720"/>
        <w:jc w:val="both"/>
        <w:rPr>
          <w:rFonts w:ascii="Times New Roman" w:eastAsia="Times New Roman" w:hAnsi="Times New Roman"/>
          <w:color w:val="000000"/>
          <w:sz w:val="24"/>
          <w:szCs w:val="24"/>
        </w:rPr>
      </w:pPr>
      <w:proofErr w:type="gramStart"/>
      <w:r w:rsidRPr="007718E8">
        <w:rPr>
          <w:rFonts w:ascii="Times New Roman" w:eastAsia="Times New Roman" w:hAnsi="Times New Roman"/>
          <w:b/>
          <w:bCs/>
          <w:color w:val="000000"/>
          <w:sz w:val="24"/>
          <w:szCs w:val="24"/>
        </w:rPr>
        <w:t>Điều 4.</w:t>
      </w:r>
      <w:proofErr w:type="gramEnd"/>
      <w:r w:rsidRPr="007718E8">
        <w:rPr>
          <w:rFonts w:ascii="Times New Roman" w:eastAsia="Times New Roman" w:hAnsi="Times New Roman"/>
          <w:b/>
          <w:bCs/>
          <w:color w:val="000000"/>
          <w:sz w:val="24"/>
          <w:szCs w:val="24"/>
        </w:rPr>
        <w:t xml:space="preserve"> Tổ chức </w:t>
      </w:r>
      <w:proofErr w:type="gramStart"/>
      <w:r w:rsidRPr="007718E8">
        <w:rPr>
          <w:rFonts w:ascii="Times New Roman" w:eastAsia="Times New Roman" w:hAnsi="Times New Roman"/>
          <w:b/>
          <w:bCs/>
          <w:color w:val="000000"/>
          <w:sz w:val="24"/>
          <w:szCs w:val="24"/>
        </w:rPr>
        <w:t>thu</w:t>
      </w:r>
      <w:proofErr w:type="gramEnd"/>
      <w:r w:rsidRPr="007718E8">
        <w:rPr>
          <w:rFonts w:ascii="Times New Roman" w:eastAsia="Times New Roman" w:hAnsi="Times New Roman"/>
          <w:b/>
          <w:bCs/>
          <w:color w:val="000000"/>
          <w:sz w:val="24"/>
          <w:szCs w:val="24"/>
        </w:rPr>
        <w:t>, nộp và quản lý sử dụng</w:t>
      </w:r>
    </w:p>
    <w:p w:rsidR="005F5560" w:rsidRPr="007718E8" w:rsidRDefault="005F5560" w:rsidP="005F5560">
      <w:pPr>
        <w:spacing w:after="120" w:line="360" w:lineRule="auto"/>
        <w:ind w:firstLine="720"/>
        <w:jc w:val="both"/>
        <w:rPr>
          <w:rFonts w:ascii="Times New Roman" w:eastAsia="Times New Roman" w:hAnsi="Times New Roman"/>
          <w:color w:val="000000"/>
          <w:sz w:val="24"/>
          <w:szCs w:val="24"/>
        </w:rPr>
      </w:pPr>
      <w:r w:rsidRPr="007718E8">
        <w:rPr>
          <w:rFonts w:ascii="Times New Roman" w:eastAsia="Times New Roman" w:hAnsi="Times New Roman"/>
          <w:color w:val="000000"/>
          <w:sz w:val="24"/>
          <w:szCs w:val="24"/>
        </w:rPr>
        <w:t>1. Cơ quan thu phí thẩm định dự án đầu tư xây dựng có trách nhiệm đăng ký, kê khai, nộp phí vào ngân sách nhà nước theo quy định của Bộ Tài chính tại Thông tư số 63/2002/TT-BTC ngày 24/7/2002 và Thông tư số 45/2006/TT-BTC ngày 25/5/2006 sửa đổi, bổ sung Thông tư số 63/2002/TT-BTC ngày 24/7/2002 của Bộ Tài chính hướng dẫn thực hiện các quy định pháp luật về phí và lệ phí.</w:t>
      </w:r>
    </w:p>
    <w:p w:rsidR="005F5560" w:rsidRPr="007718E8" w:rsidRDefault="005F5560" w:rsidP="005F5560">
      <w:pPr>
        <w:spacing w:after="120" w:line="360" w:lineRule="auto"/>
        <w:ind w:firstLine="720"/>
        <w:jc w:val="both"/>
        <w:rPr>
          <w:rFonts w:ascii="Times New Roman" w:eastAsia="Times New Roman" w:hAnsi="Times New Roman"/>
          <w:color w:val="000000"/>
          <w:sz w:val="24"/>
          <w:szCs w:val="24"/>
        </w:rPr>
      </w:pPr>
      <w:r w:rsidRPr="007718E8">
        <w:rPr>
          <w:rFonts w:ascii="Times New Roman" w:eastAsia="Times New Roman" w:hAnsi="Times New Roman"/>
          <w:color w:val="000000"/>
          <w:sz w:val="24"/>
          <w:szCs w:val="24"/>
        </w:rPr>
        <w:t>2. Đối với dự án sử dụng vốn ngân sách nhà nước: Cơ quan nhà nước có thẩm quyền thẩm định dự án đầu tư xây dựng thu tiền phí thẩm định dự án đầu tư xây dựng được để lại 65% trên số tiền phí thẩm định thu được và chuyển cho cơ quan tham gia ý kiến về thiết kế cơ sở 25% trên số tiền phí thẩm định thu được và 10% nộp vào ngân sách nhà nước.</w:t>
      </w:r>
    </w:p>
    <w:p w:rsidR="005F5560" w:rsidRPr="007718E8" w:rsidRDefault="005F5560" w:rsidP="005F5560">
      <w:pPr>
        <w:spacing w:after="120" w:line="360" w:lineRule="auto"/>
        <w:ind w:firstLine="720"/>
        <w:jc w:val="both"/>
        <w:rPr>
          <w:rFonts w:ascii="Times New Roman" w:eastAsia="Times New Roman" w:hAnsi="Times New Roman"/>
          <w:color w:val="000000"/>
          <w:sz w:val="24"/>
          <w:szCs w:val="24"/>
        </w:rPr>
      </w:pPr>
      <w:r w:rsidRPr="007718E8">
        <w:rPr>
          <w:rFonts w:ascii="Times New Roman" w:eastAsia="Times New Roman" w:hAnsi="Times New Roman"/>
          <w:color w:val="000000"/>
          <w:sz w:val="24"/>
          <w:szCs w:val="24"/>
        </w:rPr>
        <w:t>Đối với dự án khác (không sử dụng vốn ngân sách nhà nước): Người quyết định đầu tư tự tổ chức thẩm định thì người quyết định đầu tư nộp 25% trong số tiền phí thẩm định dự án đầu tư xây dựng cho cơ quan tham gia ý kiến về thiết kế cơ sở.</w:t>
      </w:r>
    </w:p>
    <w:p w:rsidR="005F5560" w:rsidRPr="007718E8" w:rsidRDefault="005F5560" w:rsidP="005F5560">
      <w:pPr>
        <w:spacing w:after="120" w:line="360" w:lineRule="auto"/>
        <w:ind w:firstLine="720"/>
        <w:jc w:val="both"/>
        <w:rPr>
          <w:rFonts w:ascii="Times New Roman" w:eastAsia="Times New Roman" w:hAnsi="Times New Roman"/>
          <w:color w:val="000000"/>
          <w:sz w:val="24"/>
          <w:szCs w:val="24"/>
        </w:rPr>
      </w:pPr>
      <w:r w:rsidRPr="007718E8">
        <w:rPr>
          <w:rFonts w:ascii="Times New Roman" w:eastAsia="Times New Roman" w:hAnsi="Times New Roman"/>
          <w:color w:val="000000"/>
          <w:sz w:val="24"/>
          <w:szCs w:val="24"/>
        </w:rPr>
        <w:t>Trường hợp dự án bao gồm nhiều loại công trình thì cơ quan quản lý nhà nước chủ trì tham gia ý kiến về thiết kế cơ sở có trách nhiệm phân bổ 25% phí thẩm định dự án đầu tư xây dựng cho các cơ quan tham gia ý kiến về thiết kế cơ sở.</w:t>
      </w:r>
    </w:p>
    <w:p w:rsidR="005F5560" w:rsidRPr="007718E8" w:rsidRDefault="005F5560" w:rsidP="005F5560">
      <w:pPr>
        <w:spacing w:after="120" w:line="360" w:lineRule="auto"/>
        <w:ind w:firstLine="720"/>
        <w:jc w:val="both"/>
        <w:rPr>
          <w:rFonts w:ascii="Times New Roman" w:eastAsia="Times New Roman" w:hAnsi="Times New Roman"/>
          <w:color w:val="000000"/>
          <w:sz w:val="24"/>
          <w:szCs w:val="24"/>
        </w:rPr>
      </w:pPr>
      <w:r w:rsidRPr="007718E8">
        <w:rPr>
          <w:rFonts w:ascii="Times New Roman" w:eastAsia="Times New Roman" w:hAnsi="Times New Roman"/>
          <w:color w:val="000000"/>
          <w:sz w:val="24"/>
          <w:szCs w:val="24"/>
        </w:rPr>
        <w:t xml:space="preserve">Cơ quan nhà nước có thẩm quyền thẩm định dự </w:t>
      </w:r>
      <w:proofErr w:type="gramStart"/>
      <w:r w:rsidRPr="007718E8">
        <w:rPr>
          <w:rFonts w:ascii="Times New Roman" w:eastAsia="Times New Roman" w:hAnsi="Times New Roman"/>
          <w:color w:val="000000"/>
          <w:sz w:val="24"/>
          <w:szCs w:val="24"/>
        </w:rPr>
        <w:t>án</w:t>
      </w:r>
      <w:proofErr w:type="gramEnd"/>
      <w:r w:rsidRPr="007718E8">
        <w:rPr>
          <w:rFonts w:ascii="Times New Roman" w:eastAsia="Times New Roman" w:hAnsi="Times New Roman"/>
          <w:color w:val="000000"/>
          <w:sz w:val="24"/>
          <w:szCs w:val="24"/>
        </w:rPr>
        <w:t xml:space="preserve"> đầu tư xây dựng và cơ quan tham gia ý kiến về thiết kế cơ sở được trích để lại để chi phí cho công việc thẩm định và việc tổ chức thu phí theo nội dung sau:</w:t>
      </w:r>
    </w:p>
    <w:p w:rsidR="005F5560" w:rsidRPr="007718E8" w:rsidRDefault="005F5560" w:rsidP="005F5560">
      <w:pPr>
        <w:spacing w:after="120" w:line="360" w:lineRule="auto"/>
        <w:ind w:firstLine="720"/>
        <w:jc w:val="both"/>
        <w:rPr>
          <w:rFonts w:ascii="Times New Roman" w:eastAsia="Times New Roman" w:hAnsi="Times New Roman"/>
          <w:color w:val="000000"/>
          <w:sz w:val="24"/>
          <w:szCs w:val="24"/>
        </w:rPr>
      </w:pPr>
      <w:r w:rsidRPr="007718E8">
        <w:rPr>
          <w:rFonts w:ascii="Times New Roman" w:eastAsia="Times New Roman" w:hAnsi="Times New Roman"/>
          <w:color w:val="000000"/>
          <w:sz w:val="24"/>
          <w:szCs w:val="24"/>
        </w:rPr>
        <w:t>- Chi thanh toán cho cá nhân trực tiếp thực hiện công việc, dịch vụ và thu phí: tiền lương, tiền công, phụ cấp lương, các khoản đóng góp theo quy định được tính trên tiền lương (bảo hiểm y tế, bảo hiểm xã hội và công đoàn phí), trừ chi phí tiền lương cho cán bộ, công chức đã hưởng lương từ ngân sách nhà nước theo chế độ quy định;</w:t>
      </w:r>
    </w:p>
    <w:p w:rsidR="005F5560" w:rsidRPr="007718E8" w:rsidRDefault="005F5560" w:rsidP="005F5560">
      <w:pPr>
        <w:spacing w:after="120" w:line="360" w:lineRule="auto"/>
        <w:ind w:firstLine="720"/>
        <w:jc w:val="both"/>
        <w:rPr>
          <w:rFonts w:ascii="Times New Roman" w:eastAsia="Times New Roman" w:hAnsi="Times New Roman"/>
          <w:color w:val="000000"/>
          <w:sz w:val="24"/>
          <w:szCs w:val="24"/>
        </w:rPr>
      </w:pPr>
      <w:r w:rsidRPr="007718E8">
        <w:rPr>
          <w:rFonts w:ascii="Times New Roman" w:eastAsia="Times New Roman" w:hAnsi="Times New Roman"/>
          <w:color w:val="000000"/>
          <w:sz w:val="24"/>
          <w:szCs w:val="24"/>
        </w:rPr>
        <w:t xml:space="preserve">- Chi phí phục vụ trực tiếp cho việc thực hiện công việc, dịch vụ và </w:t>
      </w:r>
      <w:proofErr w:type="gramStart"/>
      <w:r w:rsidRPr="007718E8">
        <w:rPr>
          <w:rFonts w:ascii="Times New Roman" w:eastAsia="Times New Roman" w:hAnsi="Times New Roman"/>
          <w:color w:val="000000"/>
          <w:sz w:val="24"/>
          <w:szCs w:val="24"/>
        </w:rPr>
        <w:t>thu</w:t>
      </w:r>
      <w:proofErr w:type="gramEnd"/>
      <w:r w:rsidRPr="007718E8">
        <w:rPr>
          <w:rFonts w:ascii="Times New Roman" w:eastAsia="Times New Roman" w:hAnsi="Times New Roman"/>
          <w:color w:val="000000"/>
          <w:sz w:val="24"/>
          <w:szCs w:val="24"/>
        </w:rPr>
        <w:t xml:space="preserve"> phí như: văn phòng phẩm, vật tư văn phòng, thông tin liên lạc, điện, nước, công tác phí (chi phí đi lại, tiền thuê chỗ ở, tiền lưu trú) theo tiêu chuẩn, định mức hiện hành;</w:t>
      </w:r>
    </w:p>
    <w:p w:rsidR="005F5560" w:rsidRPr="007718E8" w:rsidRDefault="005F5560" w:rsidP="005F5560">
      <w:pPr>
        <w:spacing w:after="120" w:line="360" w:lineRule="auto"/>
        <w:ind w:firstLine="720"/>
        <w:jc w:val="both"/>
        <w:rPr>
          <w:rFonts w:ascii="Times New Roman" w:eastAsia="Times New Roman" w:hAnsi="Times New Roman"/>
          <w:color w:val="000000"/>
          <w:sz w:val="24"/>
          <w:szCs w:val="24"/>
        </w:rPr>
      </w:pPr>
      <w:r w:rsidRPr="007718E8">
        <w:rPr>
          <w:rFonts w:ascii="Times New Roman" w:eastAsia="Times New Roman" w:hAnsi="Times New Roman"/>
          <w:color w:val="000000"/>
          <w:sz w:val="24"/>
          <w:szCs w:val="24"/>
        </w:rPr>
        <w:t>- Chi sửa chữa thường xuyên, sửa chữa lớn tài sản, máy móc, thiết bị phục vụ trực tiếp cho thực hiện công việc, dịch vụ và thu phí; khấu hao tài sản cố định để thực hiện công việc, dịch vụ, thu phí.</w:t>
      </w:r>
    </w:p>
    <w:p w:rsidR="005F5560" w:rsidRPr="007718E8" w:rsidRDefault="005F5560" w:rsidP="005F5560">
      <w:pPr>
        <w:spacing w:after="120" w:line="360" w:lineRule="auto"/>
        <w:ind w:firstLine="720"/>
        <w:jc w:val="both"/>
        <w:rPr>
          <w:rFonts w:ascii="Times New Roman" w:eastAsia="Times New Roman" w:hAnsi="Times New Roman"/>
          <w:color w:val="000000"/>
          <w:sz w:val="24"/>
          <w:szCs w:val="24"/>
        </w:rPr>
      </w:pPr>
      <w:r w:rsidRPr="007718E8">
        <w:rPr>
          <w:rFonts w:ascii="Times New Roman" w:eastAsia="Times New Roman" w:hAnsi="Times New Roman"/>
          <w:color w:val="000000"/>
          <w:sz w:val="24"/>
          <w:szCs w:val="24"/>
        </w:rPr>
        <w:t xml:space="preserve">- Chi mua sắm vật tư, nguyên liệu và các khoản chi khác liên quan trực tiếp đến việc thực hiện công việc, dịch vụ và </w:t>
      </w:r>
      <w:proofErr w:type="gramStart"/>
      <w:r w:rsidRPr="007718E8">
        <w:rPr>
          <w:rFonts w:ascii="Times New Roman" w:eastAsia="Times New Roman" w:hAnsi="Times New Roman"/>
          <w:color w:val="000000"/>
          <w:sz w:val="24"/>
          <w:szCs w:val="24"/>
        </w:rPr>
        <w:t>thu</w:t>
      </w:r>
      <w:proofErr w:type="gramEnd"/>
      <w:r w:rsidRPr="007718E8">
        <w:rPr>
          <w:rFonts w:ascii="Times New Roman" w:eastAsia="Times New Roman" w:hAnsi="Times New Roman"/>
          <w:color w:val="000000"/>
          <w:sz w:val="24"/>
          <w:szCs w:val="24"/>
        </w:rPr>
        <w:t xml:space="preserve"> phí;</w:t>
      </w:r>
    </w:p>
    <w:p w:rsidR="005F5560" w:rsidRPr="007718E8" w:rsidRDefault="005F5560" w:rsidP="005F5560">
      <w:pPr>
        <w:spacing w:after="120" w:line="360" w:lineRule="auto"/>
        <w:ind w:firstLine="720"/>
        <w:jc w:val="both"/>
        <w:rPr>
          <w:rFonts w:ascii="Times New Roman" w:eastAsia="Times New Roman" w:hAnsi="Times New Roman"/>
          <w:color w:val="000000"/>
          <w:sz w:val="24"/>
          <w:szCs w:val="24"/>
        </w:rPr>
      </w:pPr>
      <w:r w:rsidRPr="007718E8">
        <w:rPr>
          <w:rFonts w:ascii="Times New Roman" w:eastAsia="Times New Roman" w:hAnsi="Times New Roman"/>
          <w:color w:val="000000"/>
          <w:sz w:val="24"/>
          <w:szCs w:val="24"/>
        </w:rPr>
        <w:t>- Chi khen thưởng, phúc lợi cho cán bộ, nhân viên trực tiếp thực hiện công việc, dịch vụ và thu phí trong đơn vị theo nguyên tắc bình quân một năm, một người tối đa không quá 3 (ba) tháng lương thực hiện nếu số thu năm nay cao hơn năm trước và tối đa bằng 2 (hai) tháng lương thực hiện nếu số thu năm nay thấp hơn hoặc bằng năm trước, sau khi đảm bảo các chi phí liệt kê ở trên</w:t>
      </w:r>
    </w:p>
    <w:p w:rsidR="005F5560" w:rsidRPr="007718E8" w:rsidRDefault="005F5560" w:rsidP="005F5560">
      <w:pPr>
        <w:spacing w:after="120" w:line="360" w:lineRule="auto"/>
        <w:ind w:firstLine="720"/>
        <w:jc w:val="both"/>
        <w:rPr>
          <w:rFonts w:ascii="Times New Roman" w:eastAsia="Times New Roman" w:hAnsi="Times New Roman"/>
          <w:color w:val="000000"/>
          <w:sz w:val="24"/>
          <w:szCs w:val="24"/>
        </w:rPr>
      </w:pPr>
      <w:proofErr w:type="gramStart"/>
      <w:r w:rsidRPr="007718E8">
        <w:rPr>
          <w:rFonts w:ascii="Times New Roman" w:eastAsia="Times New Roman" w:hAnsi="Times New Roman"/>
          <w:b/>
          <w:bCs/>
          <w:color w:val="000000"/>
          <w:sz w:val="24"/>
          <w:szCs w:val="24"/>
        </w:rPr>
        <w:t>Điều 5.</w:t>
      </w:r>
      <w:proofErr w:type="gramEnd"/>
      <w:r w:rsidRPr="007718E8">
        <w:rPr>
          <w:rFonts w:ascii="Times New Roman" w:eastAsia="Times New Roman" w:hAnsi="Times New Roman"/>
          <w:b/>
          <w:bCs/>
          <w:color w:val="000000"/>
          <w:sz w:val="24"/>
          <w:szCs w:val="24"/>
        </w:rPr>
        <w:t xml:space="preserve"> Tổ chức thực hiện:</w:t>
      </w:r>
    </w:p>
    <w:p w:rsidR="005F5560" w:rsidRPr="007718E8" w:rsidRDefault="005F5560" w:rsidP="005F5560">
      <w:pPr>
        <w:spacing w:after="120" w:line="360" w:lineRule="auto"/>
        <w:ind w:firstLine="720"/>
        <w:jc w:val="both"/>
        <w:rPr>
          <w:rFonts w:ascii="Times New Roman" w:eastAsia="Times New Roman" w:hAnsi="Times New Roman"/>
          <w:color w:val="000000"/>
          <w:sz w:val="24"/>
          <w:szCs w:val="24"/>
        </w:rPr>
      </w:pPr>
      <w:proofErr w:type="gramStart"/>
      <w:r w:rsidRPr="007718E8">
        <w:rPr>
          <w:rFonts w:ascii="Times New Roman" w:eastAsia="Times New Roman" w:hAnsi="Times New Roman"/>
          <w:color w:val="000000"/>
          <w:sz w:val="24"/>
          <w:szCs w:val="24"/>
        </w:rPr>
        <w:t>1. Thông tư này có hiệu lực kể từ ngày 01/02/2012.</w:t>
      </w:r>
      <w:proofErr w:type="gramEnd"/>
      <w:r w:rsidRPr="007718E8">
        <w:rPr>
          <w:rFonts w:ascii="Times New Roman" w:eastAsia="Times New Roman" w:hAnsi="Times New Roman"/>
          <w:color w:val="000000"/>
          <w:sz w:val="24"/>
          <w:szCs w:val="24"/>
        </w:rPr>
        <w:t xml:space="preserve"> Thay thế Thông tư số 109/2000/TT-BTC ngày 13/11/2000 của Bộ Tài chính hướng dẫn chế độ </w:t>
      </w:r>
      <w:proofErr w:type="gramStart"/>
      <w:r w:rsidRPr="007718E8">
        <w:rPr>
          <w:rFonts w:ascii="Times New Roman" w:eastAsia="Times New Roman" w:hAnsi="Times New Roman"/>
          <w:color w:val="000000"/>
          <w:sz w:val="24"/>
          <w:szCs w:val="24"/>
        </w:rPr>
        <w:t>thu</w:t>
      </w:r>
      <w:proofErr w:type="gramEnd"/>
      <w:r w:rsidRPr="007718E8">
        <w:rPr>
          <w:rFonts w:ascii="Times New Roman" w:eastAsia="Times New Roman" w:hAnsi="Times New Roman"/>
          <w:color w:val="000000"/>
          <w:sz w:val="24"/>
          <w:szCs w:val="24"/>
        </w:rPr>
        <w:t>, nộp và sử dụng lệ phí thẩm định đầu tư.</w:t>
      </w:r>
    </w:p>
    <w:p w:rsidR="005F5560" w:rsidRPr="007718E8" w:rsidRDefault="005F5560" w:rsidP="005F5560">
      <w:pPr>
        <w:spacing w:after="120" w:line="360" w:lineRule="auto"/>
        <w:ind w:firstLine="720"/>
        <w:jc w:val="both"/>
        <w:rPr>
          <w:rFonts w:ascii="Times New Roman" w:eastAsia="Times New Roman" w:hAnsi="Times New Roman"/>
          <w:color w:val="000000"/>
          <w:sz w:val="24"/>
          <w:szCs w:val="24"/>
        </w:rPr>
      </w:pPr>
      <w:r w:rsidRPr="007718E8">
        <w:rPr>
          <w:rFonts w:ascii="Times New Roman" w:eastAsia="Times New Roman" w:hAnsi="Times New Roman"/>
          <w:color w:val="000000"/>
          <w:sz w:val="24"/>
          <w:szCs w:val="24"/>
        </w:rPr>
        <w:t>2.Các nội dung khác liên quan đến việc thu, nộp, quản lý, sử dụng, chứng từ thu; công khai chế độ thu, nộp phí thẩm định dự án đầu tư xây dựng công trình không quy định tại Thông tư này được thực hiện theo hướng dẫn tại Thông tư số 63/2002/TT-BTC ngày 24/7/2002 và Thông tư số 45/2006/TT-BTC ngày 25/5/2006 sửa đổi, bổ sung Thông tư số 63/2002/TT-BTC ngày 24/7/2002 của Bộ Tài chính hướng dẫn thực hiện các quy định pháp luật về phí và lệ phí; Thông tư số 60/2007/TT-BTC ngày 14/6/2007 và Thông tư số 157/2009/TT-BTC ngày 06/8/2009 sửa đổi, bổ sung Thông tư số 60/2007/TT-BTC ngày 14/6/2007 của Bộ Tài chính hướng dẫn thi hành một số điều của Luật Quản lý thuế và hướng dẫn thi hành Nghị định số 85/2007/NĐ-CP ngày 25/5/2007 của Chính phủ quy định chi tiết thi hành một số điều của Luật Quản lý thuế.</w:t>
      </w:r>
    </w:p>
    <w:p w:rsidR="005F5560" w:rsidRPr="007718E8" w:rsidRDefault="005F5560" w:rsidP="005F5560">
      <w:pPr>
        <w:spacing w:after="0" w:line="360" w:lineRule="auto"/>
        <w:ind w:firstLine="720"/>
        <w:jc w:val="both"/>
        <w:rPr>
          <w:rFonts w:ascii="Times New Roman" w:eastAsia="Times New Roman" w:hAnsi="Times New Roman"/>
          <w:color w:val="000000"/>
          <w:sz w:val="24"/>
          <w:szCs w:val="24"/>
        </w:rPr>
      </w:pPr>
      <w:r w:rsidRPr="007718E8">
        <w:rPr>
          <w:rFonts w:ascii="Times New Roman" w:eastAsia="Times New Roman" w:hAnsi="Times New Roman"/>
          <w:color w:val="000000"/>
          <w:sz w:val="24"/>
          <w:szCs w:val="24"/>
        </w:rPr>
        <w:t>3. Tổ chức, cá nhân thuộc đối tượng nộp phí và các cơ quan liên quan chịu trách nhiệm thi hành Thông tư này. Trong quá trình triển khai thực hiện, nếu có vướng mắc, đề nghị các tổ chức, cá nhân phản ánh kịp thời về Bộ Tài chính để xem xét, hướng dẫn</w:t>
      </w:r>
      <w:proofErr w:type="gramStart"/>
      <w:r w:rsidRPr="007718E8">
        <w:rPr>
          <w:rFonts w:ascii="Times New Roman" w:eastAsia="Times New Roman" w:hAnsi="Times New Roman"/>
          <w:color w:val="000000"/>
          <w:sz w:val="24"/>
          <w:szCs w:val="24"/>
        </w:rPr>
        <w:t>./</w:t>
      </w:r>
      <w:proofErr w:type="gramEnd"/>
      <w:r w:rsidRPr="007718E8">
        <w:rPr>
          <w:rFonts w:ascii="Times New Roman" w:eastAsia="Times New Roman" w:hAnsi="Times New Roman"/>
          <w:color w:val="000000"/>
          <w:sz w:val="24"/>
          <w:szCs w:val="24"/>
        </w:rPr>
        <w:t>.</w:t>
      </w:r>
    </w:p>
    <w:p w:rsidR="005F5560" w:rsidRPr="007718E8" w:rsidRDefault="005F5560" w:rsidP="005F5560">
      <w:pPr>
        <w:spacing w:after="0" w:line="360" w:lineRule="auto"/>
        <w:jc w:val="both"/>
        <w:rPr>
          <w:rFonts w:ascii="Times New Roman" w:eastAsia="Times New Roman" w:hAnsi="Times New Roman"/>
          <w:color w:val="000000"/>
          <w:sz w:val="24"/>
          <w:szCs w:val="24"/>
        </w:rPr>
      </w:pPr>
      <w:r w:rsidRPr="007718E8">
        <w:rPr>
          <w:rFonts w:ascii="Times New Roman" w:eastAsia="Times New Roman" w:hAnsi="Times New Roman"/>
          <w:color w:val="000000"/>
          <w:sz w:val="24"/>
          <w:szCs w:val="24"/>
        </w:rPr>
        <w:t> </w:t>
      </w:r>
    </w:p>
    <w:tbl>
      <w:tblPr>
        <w:tblW w:w="8979" w:type="dxa"/>
        <w:tblInd w:w="108" w:type="dxa"/>
        <w:tblCellMar>
          <w:left w:w="0" w:type="dxa"/>
          <w:right w:w="0" w:type="dxa"/>
        </w:tblCellMar>
        <w:tblLook w:val="04A0"/>
      </w:tblPr>
      <w:tblGrid>
        <w:gridCol w:w="5148"/>
        <w:gridCol w:w="3831"/>
      </w:tblGrid>
      <w:tr w:rsidR="005F5560" w:rsidRPr="007718E8" w:rsidTr="004273DE">
        <w:tc>
          <w:tcPr>
            <w:tcW w:w="5148" w:type="dxa"/>
            <w:tcBorders>
              <w:top w:val="nil"/>
              <w:left w:val="nil"/>
              <w:bottom w:val="nil"/>
              <w:right w:val="nil"/>
            </w:tcBorders>
            <w:shd w:val="clear" w:color="auto" w:fill="auto"/>
            <w:tcMar>
              <w:top w:w="0" w:type="dxa"/>
              <w:left w:w="108" w:type="dxa"/>
              <w:bottom w:w="0" w:type="dxa"/>
              <w:right w:w="108" w:type="dxa"/>
            </w:tcMar>
            <w:hideMark/>
          </w:tcPr>
          <w:p w:rsidR="005F5560" w:rsidRPr="007718E8" w:rsidRDefault="005F5560" w:rsidP="005F5560">
            <w:pPr>
              <w:spacing w:before="100" w:beforeAutospacing="1" w:after="100" w:afterAutospacing="1" w:line="360" w:lineRule="auto"/>
              <w:rPr>
                <w:rFonts w:ascii="Times New Roman" w:eastAsia="Times New Roman" w:hAnsi="Times New Roman"/>
                <w:color w:val="000000"/>
                <w:sz w:val="24"/>
                <w:szCs w:val="24"/>
              </w:rPr>
            </w:pPr>
            <w:r w:rsidRPr="007718E8">
              <w:rPr>
                <w:rFonts w:ascii="Times New Roman" w:eastAsia="Times New Roman" w:hAnsi="Times New Roman"/>
                <w:b/>
                <w:bCs/>
                <w:i/>
                <w:iCs/>
                <w:color w:val="000000"/>
                <w:sz w:val="24"/>
                <w:szCs w:val="24"/>
              </w:rPr>
              <w:t> Nơi nhận:</w:t>
            </w:r>
            <w:r w:rsidRPr="007718E8">
              <w:rPr>
                <w:rFonts w:ascii="Times New Roman" w:eastAsia="Times New Roman" w:hAnsi="Times New Roman"/>
                <w:b/>
                <w:bCs/>
                <w:i/>
                <w:iCs/>
                <w:color w:val="000000"/>
                <w:sz w:val="24"/>
                <w:szCs w:val="24"/>
              </w:rPr>
              <w:br/>
            </w:r>
            <w:r w:rsidRPr="007718E8">
              <w:rPr>
                <w:rFonts w:ascii="Times New Roman" w:eastAsia="Times New Roman" w:hAnsi="Times New Roman"/>
                <w:color w:val="000000"/>
                <w:sz w:val="24"/>
                <w:szCs w:val="24"/>
              </w:rPr>
              <w:t>- Văn phòng Trung ương Đảng;</w:t>
            </w:r>
            <w:r w:rsidRPr="007718E8">
              <w:rPr>
                <w:rFonts w:ascii="Times New Roman" w:eastAsia="Times New Roman" w:hAnsi="Times New Roman"/>
                <w:color w:val="000000"/>
                <w:sz w:val="24"/>
                <w:szCs w:val="24"/>
              </w:rPr>
              <w:br/>
              <w:t>- Văn phòng Quốc hội;</w:t>
            </w:r>
            <w:r w:rsidRPr="007718E8">
              <w:rPr>
                <w:rFonts w:ascii="Times New Roman" w:eastAsia="Times New Roman" w:hAnsi="Times New Roman"/>
                <w:color w:val="000000"/>
                <w:sz w:val="24"/>
                <w:szCs w:val="24"/>
              </w:rPr>
              <w:br/>
              <w:t>- Văn phòng Chủ tịch nước;</w:t>
            </w:r>
            <w:r w:rsidRPr="007718E8">
              <w:rPr>
                <w:rFonts w:ascii="Times New Roman" w:eastAsia="Times New Roman" w:hAnsi="Times New Roman"/>
                <w:color w:val="000000"/>
                <w:sz w:val="24"/>
                <w:szCs w:val="24"/>
              </w:rPr>
              <w:br/>
              <w:t>- Viện Kiểm sát nhân dân tối cao;</w:t>
            </w:r>
            <w:r w:rsidRPr="007718E8">
              <w:rPr>
                <w:rFonts w:ascii="Times New Roman" w:eastAsia="Times New Roman" w:hAnsi="Times New Roman"/>
                <w:color w:val="000000"/>
                <w:sz w:val="24"/>
                <w:szCs w:val="24"/>
              </w:rPr>
              <w:br/>
              <w:t>- Tòa án nhân dân tối cao;</w:t>
            </w:r>
            <w:r w:rsidRPr="007718E8">
              <w:rPr>
                <w:rFonts w:ascii="Times New Roman" w:eastAsia="Times New Roman" w:hAnsi="Times New Roman"/>
                <w:color w:val="000000"/>
                <w:sz w:val="24"/>
                <w:szCs w:val="24"/>
              </w:rPr>
              <w:br/>
              <w:t>- Kiểm toán nhà nước;</w:t>
            </w:r>
            <w:r w:rsidRPr="007718E8">
              <w:rPr>
                <w:rFonts w:ascii="Times New Roman" w:eastAsia="Times New Roman" w:hAnsi="Times New Roman"/>
                <w:color w:val="000000"/>
                <w:sz w:val="24"/>
                <w:szCs w:val="24"/>
              </w:rPr>
              <w:br/>
              <w:t>- Các Bộ, cơ quan ngang Bộ, cơ quan thuộc Chính phủ;</w:t>
            </w:r>
            <w:r w:rsidRPr="007718E8">
              <w:rPr>
                <w:rFonts w:ascii="Times New Roman" w:eastAsia="Times New Roman" w:hAnsi="Times New Roman"/>
                <w:color w:val="000000"/>
                <w:sz w:val="24"/>
                <w:szCs w:val="24"/>
              </w:rPr>
              <w:br/>
              <w:t>- Văn phòng Ban chỉ đạo Trung ương về phòng, chống tham nhũng;</w:t>
            </w:r>
            <w:r w:rsidRPr="007718E8">
              <w:rPr>
                <w:rFonts w:ascii="Times New Roman" w:eastAsia="Times New Roman" w:hAnsi="Times New Roman"/>
                <w:color w:val="000000"/>
                <w:sz w:val="24"/>
                <w:szCs w:val="24"/>
              </w:rPr>
              <w:br/>
              <w:t>- Cơ quan Trung ương của các đoàn thể;</w:t>
            </w:r>
            <w:r w:rsidRPr="007718E8">
              <w:rPr>
                <w:rFonts w:ascii="Times New Roman" w:eastAsia="Times New Roman" w:hAnsi="Times New Roman"/>
                <w:color w:val="000000"/>
                <w:sz w:val="24"/>
                <w:szCs w:val="24"/>
              </w:rPr>
              <w:br/>
              <w:t>- Công báo;</w:t>
            </w:r>
            <w:r w:rsidRPr="007718E8">
              <w:rPr>
                <w:rFonts w:ascii="Times New Roman" w:eastAsia="Times New Roman" w:hAnsi="Times New Roman"/>
                <w:color w:val="000000"/>
                <w:sz w:val="24"/>
                <w:szCs w:val="24"/>
              </w:rPr>
              <w:br/>
              <w:t>- Cục kiểm tra văn bản (Bộ Tư pháp);</w:t>
            </w:r>
            <w:r w:rsidRPr="007718E8">
              <w:rPr>
                <w:rFonts w:ascii="Times New Roman" w:eastAsia="Times New Roman" w:hAnsi="Times New Roman"/>
                <w:color w:val="000000"/>
                <w:sz w:val="24"/>
                <w:szCs w:val="24"/>
              </w:rPr>
              <w:br/>
              <w:t>- Uỷ ban nhân dân, Sở Tài chính, Cục Thuế, Kho bạc nhà nước các tỉnh, thành phố trực thuộc Trung ương;</w:t>
            </w:r>
            <w:r w:rsidRPr="007718E8">
              <w:rPr>
                <w:rFonts w:ascii="Times New Roman" w:eastAsia="Times New Roman" w:hAnsi="Times New Roman"/>
                <w:color w:val="000000"/>
                <w:sz w:val="24"/>
                <w:szCs w:val="24"/>
              </w:rPr>
              <w:br/>
              <w:t>- Các đơn vị thuộc Bộ Tài chính;</w:t>
            </w:r>
            <w:r w:rsidRPr="007718E8">
              <w:rPr>
                <w:rFonts w:ascii="Times New Roman" w:eastAsia="Times New Roman" w:hAnsi="Times New Roman"/>
                <w:color w:val="000000"/>
                <w:sz w:val="24"/>
                <w:szCs w:val="24"/>
              </w:rPr>
              <w:br/>
              <w:t>- Website Chính phủ;</w:t>
            </w:r>
            <w:r w:rsidRPr="007718E8">
              <w:rPr>
                <w:rFonts w:ascii="Times New Roman" w:eastAsia="Times New Roman" w:hAnsi="Times New Roman"/>
                <w:color w:val="000000"/>
                <w:sz w:val="24"/>
                <w:szCs w:val="24"/>
              </w:rPr>
              <w:br/>
              <w:t>- Website Bộ Tài chính;</w:t>
            </w:r>
            <w:r w:rsidRPr="007718E8">
              <w:rPr>
                <w:rFonts w:ascii="Times New Roman" w:eastAsia="Times New Roman" w:hAnsi="Times New Roman"/>
                <w:color w:val="000000"/>
                <w:sz w:val="24"/>
                <w:szCs w:val="24"/>
              </w:rPr>
              <w:br/>
              <w:t>- Cục kiểm tra văn bản (Bộ Tư pháp);</w:t>
            </w:r>
            <w:r w:rsidRPr="007718E8">
              <w:rPr>
                <w:rFonts w:ascii="Times New Roman" w:eastAsia="Times New Roman" w:hAnsi="Times New Roman"/>
                <w:color w:val="000000"/>
                <w:sz w:val="24"/>
                <w:szCs w:val="24"/>
              </w:rPr>
              <w:br/>
              <w:t>- Lưu VT, CST (CST 5).</w:t>
            </w:r>
          </w:p>
        </w:tc>
        <w:tc>
          <w:tcPr>
            <w:tcW w:w="3831" w:type="dxa"/>
            <w:tcBorders>
              <w:top w:val="nil"/>
              <w:left w:val="nil"/>
              <w:bottom w:val="nil"/>
              <w:right w:val="nil"/>
            </w:tcBorders>
            <w:shd w:val="clear" w:color="auto" w:fill="auto"/>
            <w:tcMar>
              <w:top w:w="0" w:type="dxa"/>
              <w:left w:w="108" w:type="dxa"/>
              <w:bottom w:w="0" w:type="dxa"/>
              <w:right w:w="108" w:type="dxa"/>
            </w:tcMar>
            <w:hideMark/>
          </w:tcPr>
          <w:p w:rsidR="005F5560" w:rsidRPr="007718E8" w:rsidRDefault="005F5560" w:rsidP="005F5560">
            <w:pPr>
              <w:spacing w:before="100" w:beforeAutospacing="1" w:after="100" w:afterAutospacing="1" w:line="360" w:lineRule="auto"/>
              <w:jc w:val="right"/>
              <w:rPr>
                <w:rFonts w:ascii="Times New Roman" w:eastAsia="Times New Roman" w:hAnsi="Times New Roman"/>
                <w:color w:val="000000"/>
                <w:sz w:val="24"/>
                <w:szCs w:val="24"/>
              </w:rPr>
            </w:pPr>
            <w:r w:rsidRPr="007718E8">
              <w:rPr>
                <w:rFonts w:ascii="Times New Roman" w:eastAsia="Times New Roman" w:hAnsi="Times New Roman"/>
                <w:b/>
                <w:bCs/>
                <w:color w:val="000000"/>
                <w:sz w:val="24"/>
                <w:szCs w:val="24"/>
              </w:rPr>
              <w:t>KT. BỘ TRƯỞNG</w:t>
            </w:r>
            <w:r w:rsidRPr="007718E8">
              <w:rPr>
                <w:rFonts w:ascii="Times New Roman" w:eastAsia="Times New Roman" w:hAnsi="Times New Roman"/>
                <w:b/>
                <w:bCs/>
                <w:color w:val="000000"/>
                <w:sz w:val="24"/>
                <w:szCs w:val="24"/>
              </w:rPr>
              <w:br/>
              <w:t>THỨ TRƯỞNG</w:t>
            </w:r>
            <w:r w:rsidRPr="007718E8">
              <w:rPr>
                <w:rFonts w:ascii="Times New Roman" w:eastAsia="Times New Roman" w:hAnsi="Times New Roman"/>
                <w:b/>
                <w:bCs/>
                <w:color w:val="000000"/>
                <w:sz w:val="24"/>
                <w:szCs w:val="24"/>
              </w:rPr>
              <w:br/>
            </w:r>
            <w:r w:rsidRPr="007718E8">
              <w:rPr>
                <w:rFonts w:ascii="Times New Roman" w:eastAsia="Times New Roman" w:hAnsi="Times New Roman"/>
                <w:b/>
                <w:bCs/>
                <w:color w:val="000000"/>
                <w:sz w:val="24"/>
                <w:szCs w:val="24"/>
              </w:rPr>
              <w:br/>
            </w:r>
            <w:r w:rsidRPr="007718E8">
              <w:rPr>
                <w:rFonts w:ascii="Times New Roman" w:eastAsia="Times New Roman" w:hAnsi="Times New Roman"/>
                <w:b/>
                <w:bCs/>
                <w:color w:val="000000"/>
                <w:sz w:val="24"/>
                <w:szCs w:val="24"/>
              </w:rPr>
              <w:br/>
            </w:r>
            <w:r w:rsidRPr="007718E8">
              <w:rPr>
                <w:rFonts w:ascii="Times New Roman" w:eastAsia="Times New Roman" w:hAnsi="Times New Roman"/>
                <w:b/>
                <w:bCs/>
                <w:color w:val="000000"/>
                <w:sz w:val="24"/>
                <w:szCs w:val="24"/>
              </w:rPr>
              <w:br/>
            </w:r>
            <w:r w:rsidRPr="007718E8">
              <w:rPr>
                <w:rFonts w:ascii="Times New Roman" w:eastAsia="Times New Roman" w:hAnsi="Times New Roman"/>
                <w:b/>
                <w:bCs/>
                <w:color w:val="000000"/>
                <w:sz w:val="24"/>
                <w:szCs w:val="24"/>
              </w:rPr>
              <w:br/>
              <w:t>Vũ Thị Mai</w:t>
            </w:r>
          </w:p>
        </w:tc>
      </w:tr>
    </w:tbl>
    <w:p w:rsidR="005F5560" w:rsidRPr="007718E8" w:rsidRDefault="005F5560" w:rsidP="005F5560">
      <w:pPr>
        <w:spacing w:after="0" w:line="360" w:lineRule="auto"/>
        <w:jc w:val="both"/>
        <w:rPr>
          <w:rFonts w:ascii="Times New Roman" w:eastAsia="Times New Roman" w:hAnsi="Times New Roman"/>
          <w:color w:val="000000"/>
          <w:sz w:val="24"/>
          <w:szCs w:val="24"/>
        </w:rPr>
      </w:pPr>
      <w:r w:rsidRPr="007718E8">
        <w:rPr>
          <w:rFonts w:ascii="Times New Roman" w:eastAsia="Times New Roman" w:hAnsi="Times New Roman"/>
          <w:color w:val="000000"/>
          <w:sz w:val="24"/>
          <w:szCs w:val="24"/>
        </w:rPr>
        <w:t> </w:t>
      </w:r>
    </w:p>
    <w:p w:rsidR="005F5560" w:rsidRPr="007718E8" w:rsidRDefault="005F5560" w:rsidP="005F5560">
      <w:pPr>
        <w:spacing w:after="0" w:line="360" w:lineRule="auto"/>
        <w:jc w:val="both"/>
        <w:rPr>
          <w:rFonts w:ascii="Times New Roman" w:eastAsia="Times New Roman" w:hAnsi="Times New Roman"/>
          <w:color w:val="000000"/>
          <w:sz w:val="24"/>
          <w:szCs w:val="24"/>
        </w:rPr>
      </w:pPr>
      <w:r w:rsidRPr="007718E8">
        <w:rPr>
          <w:rFonts w:ascii="Times New Roman" w:eastAsia="Times New Roman" w:hAnsi="Times New Roman"/>
          <w:b/>
          <w:bCs/>
          <w:color w:val="000000"/>
          <w:sz w:val="24"/>
          <w:szCs w:val="24"/>
        </w:rPr>
        <w:t>BIỂU MỨC THU PHÍ THẨM ĐỊNH DỰ ÁN ĐẦU TƯ XÂY DỰNG</w:t>
      </w:r>
    </w:p>
    <w:p w:rsidR="005F5560" w:rsidRPr="007718E8" w:rsidRDefault="005F5560" w:rsidP="005F5560">
      <w:pPr>
        <w:spacing w:after="0" w:line="360" w:lineRule="auto"/>
        <w:jc w:val="both"/>
        <w:rPr>
          <w:rFonts w:ascii="Times New Roman" w:eastAsia="Times New Roman" w:hAnsi="Times New Roman"/>
          <w:color w:val="000000"/>
          <w:sz w:val="24"/>
          <w:szCs w:val="24"/>
        </w:rPr>
      </w:pPr>
      <w:r w:rsidRPr="007718E8">
        <w:rPr>
          <w:rFonts w:ascii="Times New Roman" w:eastAsia="Times New Roman" w:hAnsi="Times New Roman"/>
          <w:color w:val="000000"/>
          <w:sz w:val="24"/>
          <w:szCs w:val="24"/>
        </w:rPr>
        <w:t>(</w:t>
      </w:r>
      <w:r w:rsidRPr="007718E8">
        <w:rPr>
          <w:rFonts w:ascii="Times New Roman" w:eastAsia="Times New Roman" w:hAnsi="Times New Roman"/>
          <w:i/>
          <w:iCs/>
          <w:color w:val="000000"/>
          <w:sz w:val="24"/>
          <w:szCs w:val="24"/>
        </w:rPr>
        <w:t xml:space="preserve">Ban hành kèm </w:t>
      </w:r>
      <w:proofErr w:type="gramStart"/>
      <w:r w:rsidRPr="007718E8">
        <w:rPr>
          <w:rFonts w:ascii="Times New Roman" w:eastAsia="Times New Roman" w:hAnsi="Times New Roman"/>
          <w:i/>
          <w:iCs/>
          <w:color w:val="000000"/>
          <w:sz w:val="24"/>
          <w:szCs w:val="24"/>
        </w:rPr>
        <w:t>theo</w:t>
      </w:r>
      <w:proofErr w:type="gramEnd"/>
      <w:r w:rsidRPr="007718E8">
        <w:rPr>
          <w:rFonts w:ascii="Times New Roman" w:eastAsia="Times New Roman" w:hAnsi="Times New Roman"/>
          <w:i/>
          <w:iCs/>
          <w:color w:val="000000"/>
          <w:sz w:val="24"/>
          <w:szCs w:val="24"/>
        </w:rPr>
        <w:t xml:space="preserve"> Thông tư số 176/2011/TT-BTC ngày 6/12/2011 của Bộ Tài chính)</w:t>
      </w:r>
    </w:p>
    <w:p w:rsidR="005F5560" w:rsidRPr="007718E8" w:rsidRDefault="005F5560" w:rsidP="005F5560">
      <w:pPr>
        <w:spacing w:after="0" w:line="360" w:lineRule="auto"/>
        <w:jc w:val="both"/>
        <w:rPr>
          <w:rFonts w:ascii="Times New Roman" w:eastAsia="Times New Roman" w:hAnsi="Times New Roman"/>
          <w:color w:val="000000"/>
          <w:sz w:val="24"/>
          <w:szCs w:val="24"/>
        </w:rPr>
      </w:pPr>
      <w:r w:rsidRPr="007718E8">
        <w:rPr>
          <w:rFonts w:ascii="Times New Roman" w:eastAsia="Times New Roman" w:hAnsi="Times New Roman"/>
          <w:color w:val="000000"/>
          <w:sz w:val="24"/>
          <w:szCs w:val="24"/>
        </w:rPr>
        <w:t> </w:t>
      </w:r>
    </w:p>
    <w:tbl>
      <w:tblPr>
        <w:tblW w:w="0" w:type="auto"/>
        <w:tblInd w:w="108" w:type="dxa"/>
        <w:tblCellMar>
          <w:left w:w="0" w:type="dxa"/>
          <w:right w:w="0" w:type="dxa"/>
        </w:tblCellMar>
        <w:tblLook w:val="04A0"/>
      </w:tblPr>
      <w:tblGrid>
        <w:gridCol w:w="924"/>
        <w:gridCol w:w="876"/>
        <w:gridCol w:w="876"/>
        <w:gridCol w:w="876"/>
        <w:gridCol w:w="876"/>
        <w:gridCol w:w="876"/>
        <w:gridCol w:w="876"/>
        <w:gridCol w:w="876"/>
        <w:gridCol w:w="876"/>
        <w:gridCol w:w="876"/>
        <w:gridCol w:w="1008"/>
      </w:tblGrid>
      <w:tr w:rsidR="005F5560" w:rsidRPr="007718E8" w:rsidTr="004273DE">
        <w:tc>
          <w:tcPr>
            <w:tcW w:w="9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5560" w:rsidRPr="007718E8" w:rsidRDefault="005F5560" w:rsidP="004273DE">
            <w:pPr>
              <w:spacing w:before="100" w:beforeAutospacing="1" w:after="100" w:afterAutospacing="1" w:line="360" w:lineRule="auto"/>
              <w:jc w:val="both"/>
              <w:rPr>
                <w:rFonts w:ascii="Times New Roman" w:eastAsia="Times New Roman" w:hAnsi="Times New Roman"/>
                <w:color w:val="000000"/>
                <w:sz w:val="24"/>
                <w:szCs w:val="24"/>
              </w:rPr>
            </w:pPr>
            <w:r w:rsidRPr="007718E8">
              <w:rPr>
                <w:rFonts w:ascii="Times New Roman" w:eastAsia="Times New Roman" w:hAnsi="Times New Roman"/>
                <w:color w:val="000000"/>
                <w:sz w:val="24"/>
                <w:szCs w:val="24"/>
              </w:rPr>
              <w:t>Tổng mức đầu tư dự án</w:t>
            </w:r>
          </w:p>
          <w:p w:rsidR="005F5560" w:rsidRPr="007718E8" w:rsidRDefault="005F5560" w:rsidP="004273DE">
            <w:pPr>
              <w:spacing w:before="100" w:beforeAutospacing="1" w:after="100" w:afterAutospacing="1" w:line="360" w:lineRule="auto"/>
              <w:jc w:val="both"/>
              <w:rPr>
                <w:rFonts w:ascii="Times New Roman" w:eastAsia="Times New Roman" w:hAnsi="Times New Roman"/>
                <w:color w:val="000000"/>
                <w:sz w:val="24"/>
                <w:szCs w:val="24"/>
              </w:rPr>
            </w:pPr>
            <w:r w:rsidRPr="007718E8">
              <w:rPr>
                <w:rFonts w:ascii="Times New Roman" w:eastAsia="Times New Roman" w:hAnsi="Times New Roman"/>
                <w:color w:val="000000"/>
                <w:sz w:val="24"/>
                <w:szCs w:val="24"/>
              </w:rPr>
              <w:t>(tỷ đồng)</w:t>
            </w:r>
          </w:p>
        </w:tc>
        <w:tc>
          <w:tcPr>
            <w:tcW w:w="83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F5560" w:rsidRPr="007718E8" w:rsidRDefault="005F5560" w:rsidP="004273DE">
            <w:pPr>
              <w:spacing w:before="100" w:beforeAutospacing="1" w:after="100" w:afterAutospacing="1" w:line="360" w:lineRule="auto"/>
              <w:jc w:val="both"/>
              <w:rPr>
                <w:rFonts w:ascii="Times New Roman" w:eastAsia="Times New Roman" w:hAnsi="Times New Roman"/>
                <w:color w:val="000000"/>
                <w:sz w:val="24"/>
                <w:szCs w:val="24"/>
              </w:rPr>
            </w:pPr>
            <w:r w:rsidRPr="007718E8">
              <w:rPr>
                <w:rFonts w:ascii="Times New Roman" w:eastAsia="Times New Roman" w:hAnsi="Times New Roman"/>
                <w:color w:val="000000"/>
                <w:sz w:val="24"/>
                <w:szCs w:val="24"/>
                <w:u w:val="single"/>
              </w:rPr>
              <w:t>&lt;</w:t>
            </w:r>
            <w:r w:rsidRPr="007718E8">
              <w:rPr>
                <w:rFonts w:ascii="Times New Roman" w:eastAsia="Times New Roman" w:hAnsi="Times New Roman"/>
                <w:color w:val="000000"/>
                <w:sz w:val="24"/>
                <w:szCs w:val="24"/>
              </w:rPr>
              <w:t>15</w:t>
            </w:r>
          </w:p>
        </w:tc>
        <w:tc>
          <w:tcPr>
            <w:tcW w:w="8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F5560" w:rsidRPr="007718E8" w:rsidRDefault="005F5560" w:rsidP="004273DE">
            <w:pPr>
              <w:spacing w:before="100" w:beforeAutospacing="1" w:after="100" w:afterAutospacing="1" w:line="360" w:lineRule="auto"/>
              <w:jc w:val="both"/>
              <w:rPr>
                <w:rFonts w:ascii="Times New Roman" w:eastAsia="Times New Roman" w:hAnsi="Times New Roman"/>
                <w:color w:val="000000"/>
                <w:sz w:val="24"/>
                <w:szCs w:val="24"/>
              </w:rPr>
            </w:pPr>
            <w:r w:rsidRPr="007718E8">
              <w:rPr>
                <w:rFonts w:ascii="Times New Roman" w:eastAsia="Times New Roman" w:hAnsi="Times New Roman"/>
                <w:color w:val="000000"/>
                <w:sz w:val="24"/>
                <w:szCs w:val="24"/>
              </w:rPr>
              <w:t>25</w:t>
            </w:r>
          </w:p>
        </w:tc>
        <w:tc>
          <w:tcPr>
            <w:tcW w:w="83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F5560" w:rsidRPr="007718E8" w:rsidRDefault="005F5560" w:rsidP="004273DE">
            <w:pPr>
              <w:spacing w:before="100" w:beforeAutospacing="1" w:after="100" w:afterAutospacing="1" w:line="360" w:lineRule="auto"/>
              <w:jc w:val="both"/>
              <w:rPr>
                <w:rFonts w:ascii="Times New Roman" w:eastAsia="Times New Roman" w:hAnsi="Times New Roman"/>
                <w:color w:val="000000"/>
                <w:sz w:val="24"/>
                <w:szCs w:val="24"/>
              </w:rPr>
            </w:pPr>
            <w:r w:rsidRPr="007718E8">
              <w:rPr>
                <w:rFonts w:ascii="Times New Roman" w:eastAsia="Times New Roman" w:hAnsi="Times New Roman"/>
                <w:color w:val="000000"/>
                <w:sz w:val="24"/>
                <w:szCs w:val="24"/>
              </w:rPr>
              <w:t>50</w:t>
            </w:r>
          </w:p>
        </w:tc>
        <w:tc>
          <w:tcPr>
            <w:tcW w:w="83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F5560" w:rsidRPr="007718E8" w:rsidRDefault="005F5560" w:rsidP="004273DE">
            <w:pPr>
              <w:spacing w:before="100" w:beforeAutospacing="1" w:after="100" w:afterAutospacing="1" w:line="360" w:lineRule="auto"/>
              <w:jc w:val="both"/>
              <w:rPr>
                <w:rFonts w:ascii="Times New Roman" w:eastAsia="Times New Roman" w:hAnsi="Times New Roman"/>
                <w:color w:val="000000"/>
                <w:sz w:val="24"/>
                <w:szCs w:val="24"/>
              </w:rPr>
            </w:pPr>
            <w:r w:rsidRPr="007718E8">
              <w:rPr>
                <w:rFonts w:ascii="Times New Roman" w:eastAsia="Times New Roman" w:hAnsi="Times New Roman"/>
                <w:color w:val="000000"/>
                <w:sz w:val="24"/>
                <w:szCs w:val="24"/>
              </w:rPr>
              <w:t>100</w:t>
            </w:r>
          </w:p>
        </w:tc>
        <w:tc>
          <w:tcPr>
            <w:tcW w:w="83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F5560" w:rsidRPr="007718E8" w:rsidRDefault="005F5560" w:rsidP="004273DE">
            <w:pPr>
              <w:spacing w:before="100" w:beforeAutospacing="1" w:after="100" w:afterAutospacing="1" w:line="360" w:lineRule="auto"/>
              <w:jc w:val="both"/>
              <w:rPr>
                <w:rFonts w:ascii="Times New Roman" w:eastAsia="Times New Roman" w:hAnsi="Times New Roman"/>
                <w:color w:val="000000"/>
                <w:sz w:val="24"/>
                <w:szCs w:val="24"/>
              </w:rPr>
            </w:pPr>
            <w:r w:rsidRPr="007718E8">
              <w:rPr>
                <w:rFonts w:ascii="Times New Roman" w:eastAsia="Times New Roman" w:hAnsi="Times New Roman"/>
                <w:color w:val="000000"/>
                <w:sz w:val="24"/>
                <w:szCs w:val="24"/>
              </w:rPr>
              <w:t>200</w:t>
            </w:r>
          </w:p>
        </w:tc>
        <w:tc>
          <w:tcPr>
            <w:tcW w:w="8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F5560" w:rsidRPr="007718E8" w:rsidRDefault="005F5560" w:rsidP="004273DE">
            <w:pPr>
              <w:spacing w:before="100" w:beforeAutospacing="1" w:after="100" w:afterAutospacing="1" w:line="360" w:lineRule="auto"/>
              <w:jc w:val="both"/>
              <w:rPr>
                <w:rFonts w:ascii="Times New Roman" w:eastAsia="Times New Roman" w:hAnsi="Times New Roman"/>
                <w:color w:val="000000"/>
                <w:sz w:val="24"/>
                <w:szCs w:val="24"/>
              </w:rPr>
            </w:pPr>
            <w:r w:rsidRPr="007718E8">
              <w:rPr>
                <w:rFonts w:ascii="Times New Roman" w:eastAsia="Times New Roman" w:hAnsi="Times New Roman"/>
                <w:color w:val="000000"/>
                <w:sz w:val="24"/>
                <w:szCs w:val="24"/>
              </w:rPr>
              <w:t>500</w:t>
            </w:r>
          </w:p>
        </w:tc>
        <w:tc>
          <w:tcPr>
            <w:tcW w:w="83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F5560" w:rsidRPr="007718E8" w:rsidRDefault="005F5560" w:rsidP="004273DE">
            <w:pPr>
              <w:spacing w:before="100" w:beforeAutospacing="1" w:after="100" w:afterAutospacing="1" w:line="360" w:lineRule="auto"/>
              <w:jc w:val="both"/>
              <w:rPr>
                <w:rFonts w:ascii="Times New Roman" w:eastAsia="Times New Roman" w:hAnsi="Times New Roman"/>
                <w:color w:val="000000"/>
                <w:sz w:val="24"/>
                <w:szCs w:val="24"/>
              </w:rPr>
            </w:pPr>
            <w:r w:rsidRPr="007718E8">
              <w:rPr>
                <w:rFonts w:ascii="Times New Roman" w:eastAsia="Times New Roman" w:hAnsi="Times New Roman"/>
                <w:color w:val="000000"/>
                <w:sz w:val="24"/>
                <w:szCs w:val="24"/>
              </w:rPr>
              <w:t>1.000</w:t>
            </w:r>
          </w:p>
        </w:tc>
        <w:tc>
          <w:tcPr>
            <w:tcW w:w="83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F5560" w:rsidRPr="007718E8" w:rsidRDefault="005F5560" w:rsidP="004273DE">
            <w:pPr>
              <w:spacing w:before="100" w:beforeAutospacing="1" w:after="100" w:afterAutospacing="1" w:line="360" w:lineRule="auto"/>
              <w:jc w:val="both"/>
              <w:rPr>
                <w:rFonts w:ascii="Times New Roman" w:eastAsia="Times New Roman" w:hAnsi="Times New Roman"/>
                <w:color w:val="000000"/>
                <w:sz w:val="24"/>
                <w:szCs w:val="24"/>
              </w:rPr>
            </w:pPr>
            <w:r w:rsidRPr="007718E8">
              <w:rPr>
                <w:rFonts w:ascii="Times New Roman" w:eastAsia="Times New Roman" w:hAnsi="Times New Roman"/>
                <w:color w:val="000000"/>
                <w:sz w:val="24"/>
                <w:szCs w:val="24"/>
              </w:rPr>
              <w:t>2.000</w:t>
            </w:r>
          </w:p>
        </w:tc>
        <w:tc>
          <w:tcPr>
            <w:tcW w:w="84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F5560" w:rsidRPr="007718E8" w:rsidRDefault="005F5560" w:rsidP="004273DE">
            <w:pPr>
              <w:spacing w:before="100" w:beforeAutospacing="1" w:after="100" w:afterAutospacing="1" w:line="360" w:lineRule="auto"/>
              <w:jc w:val="both"/>
              <w:rPr>
                <w:rFonts w:ascii="Times New Roman" w:eastAsia="Times New Roman" w:hAnsi="Times New Roman"/>
                <w:color w:val="000000"/>
                <w:sz w:val="24"/>
                <w:szCs w:val="24"/>
              </w:rPr>
            </w:pPr>
            <w:r w:rsidRPr="007718E8">
              <w:rPr>
                <w:rFonts w:ascii="Times New Roman" w:eastAsia="Times New Roman" w:hAnsi="Times New Roman"/>
                <w:color w:val="000000"/>
                <w:sz w:val="24"/>
                <w:szCs w:val="24"/>
              </w:rPr>
              <w:t>5.000</w:t>
            </w:r>
          </w:p>
        </w:tc>
        <w:tc>
          <w:tcPr>
            <w:tcW w:w="9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F5560" w:rsidRPr="007718E8" w:rsidRDefault="005F5560" w:rsidP="004273DE">
            <w:pPr>
              <w:spacing w:before="100" w:beforeAutospacing="1" w:after="100" w:afterAutospacing="1" w:line="360" w:lineRule="auto"/>
              <w:jc w:val="both"/>
              <w:rPr>
                <w:rFonts w:ascii="Times New Roman" w:eastAsia="Times New Roman" w:hAnsi="Times New Roman"/>
                <w:color w:val="000000"/>
                <w:sz w:val="24"/>
                <w:szCs w:val="24"/>
              </w:rPr>
            </w:pPr>
            <w:r w:rsidRPr="007718E8">
              <w:rPr>
                <w:rFonts w:ascii="Times New Roman" w:eastAsia="Times New Roman" w:hAnsi="Times New Roman"/>
                <w:color w:val="000000"/>
                <w:sz w:val="24"/>
                <w:szCs w:val="24"/>
              </w:rPr>
              <w:t>≥10.000</w:t>
            </w:r>
          </w:p>
        </w:tc>
      </w:tr>
      <w:tr w:rsidR="005F5560" w:rsidRPr="007718E8" w:rsidTr="004273DE">
        <w:tc>
          <w:tcPr>
            <w:tcW w:w="9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5560" w:rsidRPr="007718E8" w:rsidRDefault="005F5560" w:rsidP="004273DE">
            <w:pPr>
              <w:spacing w:before="100" w:beforeAutospacing="1" w:after="100" w:afterAutospacing="1" w:line="360" w:lineRule="auto"/>
              <w:jc w:val="both"/>
              <w:rPr>
                <w:rFonts w:ascii="Times New Roman" w:eastAsia="Times New Roman" w:hAnsi="Times New Roman"/>
                <w:color w:val="000000"/>
                <w:sz w:val="24"/>
                <w:szCs w:val="24"/>
              </w:rPr>
            </w:pPr>
            <w:r w:rsidRPr="007718E8">
              <w:rPr>
                <w:rFonts w:ascii="Times New Roman" w:eastAsia="Times New Roman" w:hAnsi="Times New Roman"/>
                <w:color w:val="000000"/>
                <w:sz w:val="24"/>
                <w:szCs w:val="24"/>
              </w:rPr>
              <w:t>Tỷ lệ %</w:t>
            </w:r>
          </w:p>
        </w:tc>
        <w:tc>
          <w:tcPr>
            <w:tcW w:w="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5560" w:rsidRPr="007718E8" w:rsidRDefault="005F5560" w:rsidP="004273DE">
            <w:pPr>
              <w:spacing w:before="100" w:beforeAutospacing="1" w:after="100" w:afterAutospacing="1" w:line="360" w:lineRule="auto"/>
              <w:jc w:val="both"/>
              <w:rPr>
                <w:rFonts w:ascii="Times New Roman" w:eastAsia="Times New Roman" w:hAnsi="Times New Roman"/>
                <w:color w:val="000000"/>
                <w:sz w:val="24"/>
                <w:szCs w:val="24"/>
              </w:rPr>
            </w:pPr>
            <w:r w:rsidRPr="007718E8">
              <w:rPr>
                <w:rFonts w:ascii="Times New Roman" w:eastAsia="Times New Roman" w:hAnsi="Times New Roman"/>
                <w:color w:val="000000"/>
                <w:sz w:val="24"/>
                <w:szCs w:val="24"/>
              </w:rPr>
              <w:t>0,0190</w:t>
            </w:r>
          </w:p>
        </w:tc>
        <w:tc>
          <w:tcPr>
            <w:tcW w:w="8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5560" w:rsidRPr="007718E8" w:rsidRDefault="005F5560" w:rsidP="004273DE">
            <w:pPr>
              <w:spacing w:before="100" w:beforeAutospacing="1" w:after="100" w:afterAutospacing="1" w:line="360" w:lineRule="auto"/>
              <w:jc w:val="both"/>
              <w:rPr>
                <w:rFonts w:ascii="Times New Roman" w:eastAsia="Times New Roman" w:hAnsi="Times New Roman"/>
                <w:color w:val="000000"/>
                <w:sz w:val="24"/>
                <w:szCs w:val="24"/>
              </w:rPr>
            </w:pPr>
            <w:r w:rsidRPr="007718E8">
              <w:rPr>
                <w:rFonts w:ascii="Times New Roman" w:eastAsia="Times New Roman" w:hAnsi="Times New Roman"/>
                <w:color w:val="000000"/>
                <w:sz w:val="24"/>
                <w:szCs w:val="24"/>
              </w:rPr>
              <w:t>0,0170</w:t>
            </w:r>
          </w:p>
        </w:tc>
        <w:tc>
          <w:tcPr>
            <w:tcW w:w="8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5560" w:rsidRPr="007718E8" w:rsidRDefault="005F5560" w:rsidP="004273DE">
            <w:pPr>
              <w:spacing w:before="100" w:beforeAutospacing="1" w:after="100" w:afterAutospacing="1" w:line="360" w:lineRule="auto"/>
              <w:jc w:val="both"/>
              <w:rPr>
                <w:rFonts w:ascii="Times New Roman" w:eastAsia="Times New Roman" w:hAnsi="Times New Roman"/>
                <w:color w:val="000000"/>
                <w:sz w:val="24"/>
                <w:szCs w:val="24"/>
              </w:rPr>
            </w:pPr>
            <w:r w:rsidRPr="007718E8">
              <w:rPr>
                <w:rFonts w:ascii="Times New Roman" w:eastAsia="Times New Roman" w:hAnsi="Times New Roman"/>
                <w:color w:val="000000"/>
                <w:sz w:val="24"/>
                <w:szCs w:val="24"/>
              </w:rPr>
              <w:t>0,0150</w:t>
            </w:r>
          </w:p>
        </w:tc>
        <w:tc>
          <w:tcPr>
            <w:tcW w:w="8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5560" w:rsidRPr="007718E8" w:rsidRDefault="005F5560" w:rsidP="004273DE">
            <w:pPr>
              <w:spacing w:before="100" w:beforeAutospacing="1" w:after="100" w:afterAutospacing="1" w:line="360" w:lineRule="auto"/>
              <w:jc w:val="both"/>
              <w:rPr>
                <w:rFonts w:ascii="Times New Roman" w:eastAsia="Times New Roman" w:hAnsi="Times New Roman"/>
                <w:color w:val="000000"/>
                <w:sz w:val="24"/>
                <w:szCs w:val="24"/>
              </w:rPr>
            </w:pPr>
            <w:r w:rsidRPr="007718E8">
              <w:rPr>
                <w:rFonts w:ascii="Times New Roman" w:eastAsia="Times New Roman" w:hAnsi="Times New Roman"/>
                <w:color w:val="000000"/>
                <w:sz w:val="24"/>
                <w:szCs w:val="24"/>
              </w:rPr>
              <w:t>0,0125</w:t>
            </w:r>
          </w:p>
        </w:tc>
        <w:tc>
          <w:tcPr>
            <w:tcW w:w="8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5560" w:rsidRPr="007718E8" w:rsidRDefault="005F5560" w:rsidP="004273DE">
            <w:pPr>
              <w:spacing w:before="100" w:beforeAutospacing="1" w:after="100" w:afterAutospacing="1" w:line="360" w:lineRule="auto"/>
              <w:jc w:val="both"/>
              <w:rPr>
                <w:rFonts w:ascii="Times New Roman" w:eastAsia="Times New Roman" w:hAnsi="Times New Roman"/>
                <w:color w:val="000000"/>
                <w:sz w:val="24"/>
                <w:szCs w:val="24"/>
              </w:rPr>
            </w:pPr>
            <w:r w:rsidRPr="007718E8">
              <w:rPr>
                <w:rFonts w:ascii="Times New Roman" w:eastAsia="Times New Roman" w:hAnsi="Times New Roman"/>
                <w:color w:val="000000"/>
                <w:sz w:val="24"/>
                <w:szCs w:val="24"/>
              </w:rPr>
              <w:t>0,0100</w:t>
            </w:r>
          </w:p>
        </w:tc>
        <w:tc>
          <w:tcPr>
            <w:tcW w:w="8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5560" w:rsidRPr="007718E8" w:rsidRDefault="005F5560" w:rsidP="004273DE">
            <w:pPr>
              <w:spacing w:before="100" w:beforeAutospacing="1" w:after="100" w:afterAutospacing="1" w:line="360" w:lineRule="auto"/>
              <w:jc w:val="both"/>
              <w:rPr>
                <w:rFonts w:ascii="Times New Roman" w:eastAsia="Times New Roman" w:hAnsi="Times New Roman"/>
                <w:color w:val="000000"/>
                <w:sz w:val="24"/>
                <w:szCs w:val="24"/>
              </w:rPr>
            </w:pPr>
            <w:r w:rsidRPr="007718E8">
              <w:rPr>
                <w:rFonts w:ascii="Times New Roman" w:eastAsia="Times New Roman" w:hAnsi="Times New Roman"/>
                <w:color w:val="000000"/>
                <w:sz w:val="24"/>
                <w:szCs w:val="24"/>
              </w:rPr>
              <w:t>0,0075</w:t>
            </w:r>
          </w:p>
        </w:tc>
        <w:tc>
          <w:tcPr>
            <w:tcW w:w="8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5560" w:rsidRPr="007718E8" w:rsidRDefault="005F5560" w:rsidP="004273DE">
            <w:pPr>
              <w:spacing w:before="100" w:beforeAutospacing="1" w:after="100" w:afterAutospacing="1" w:line="360" w:lineRule="auto"/>
              <w:jc w:val="both"/>
              <w:rPr>
                <w:rFonts w:ascii="Times New Roman" w:eastAsia="Times New Roman" w:hAnsi="Times New Roman"/>
                <w:color w:val="000000"/>
                <w:sz w:val="24"/>
                <w:szCs w:val="24"/>
              </w:rPr>
            </w:pPr>
            <w:r w:rsidRPr="007718E8">
              <w:rPr>
                <w:rFonts w:ascii="Times New Roman" w:eastAsia="Times New Roman" w:hAnsi="Times New Roman"/>
                <w:color w:val="000000"/>
                <w:sz w:val="24"/>
                <w:szCs w:val="24"/>
              </w:rPr>
              <w:t>0,0047</w:t>
            </w:r>
          </w:p>
        </w:tc>
        <w:tc>
          <w:tcPr>
            <w:tcW w:w="8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5560" w:rsidRPr="007718E8" w:rsidRDefault="005F5560" w:rsidP="004273DE">
            <w:pPr>
              <w:spacing w:before="100" w:beforeAutospacing="1" w:after="100" w:afterAutospacing="1" w:line="360" w:lineRule="auto"/>
              <w:jc w:val="both"/>
              <w:rPr>
                <w:rFonts w:ascii="Times New Roman" w:eastAsia="Times New Roman" w:hAnsi="Times New Roman"/>
                <w:color w:val="000000"/>
                <w:sz w:val="24"/>
                <w:szCs w:val="24"/>
              </w:rPr>
            </w:pPr>
            <w:r w:rsidRPr="007718E8">
              <w:rPr>
                <w:rFonts w:ascii="Times New Roman" w:eastAsia="Times New Roman" w:hAnsi="Times New Roman"/>
                <w:color w:val="000000"/>
                <w:sz w:val="24"/>
                <w:szCs w:val="24"/>
              </w:rPr>
              <w:t>0,0025</w:t>
            </w:r>
          </w:p>
        </w:tc>
        <w:tc>
          <w:tcPr>
            <w:tcW w:w="8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5560" w:rsidRPr="007718E8" w:rsidRDefault="005F5560" w:rsidP="004273DE">
            <w:pPr>
              <w:spacing w:before="100" w:beforeAutospacing="1" w:after="100" w:afterAutospacing="1" w:line="360" w:lineRule="auto"/>
              <w:jc w:val="both"/>
              <w:rPr>
                <w:rFonts w:ascii="Times New Roman" w:eastAsia="Times New Roman" w:hAnsi="Times New Roman"/>
                <w:color w:val="000000"/>
                <w:sz w:val="24"/>
                <w:szCs w:val="24"/>
              </w:rPr>
            </w:pPr>
            <w:r w:rsidRPr="007718E8">
              <w:rPr>
                <w:rFonts w:ascii="Times New Roman" w:eastAsia="Times New Roman" w:hAnsi="Times New Roman"/>
                <w:color w:val="000000"/>
                <w:sz w:val="24"/>
                <w:szCs w:val="24"/>
              </w:rPr>
              <w:t>0,0020</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5560" w:rsidRPr="007718E8" w:rsidRDefault="005F5560" w:rsidP="004273DE">
            <w:pPr>
              <w:spacing w:before="100" w:beforeAutospacing="1" w:after="100" w:afterAutospacing="1" w:line="360" w:lineRule="auto"/>
              <w:jc w:val="both"/>
              <w:rPr>
                <w:rFonts w:ascii="Times New Roman" w:eastAsia="Times New Roman" w:hAnsi="Times New Roman"/>
                <w:color w:val="000000"/>
                <w:sz w:val="24"/>
                <w:szCs w:val="24"/>
              </w:rPr>
            </w:pPr>
            <w:r w:rsidRPr="007718E8">
              <w:rPr>
                <w:rFonts w:ascii="Times New Roman" w:eastAsia="Times New Roman" w:hAnsi="Times New Roman"/>
                <w:color w:val="000000"/>
                <w:sz w:val="24"/>
                <w:szCs w:val="24"/>
              </w:rPr>
              <w:t>0,0010</w:t>
            </w:r>
          </w:p>
        </w:tc>
      </w:tr>
    </w:tbl>
    <w:p w:rsidR="00173AFC" w:rsidRDefault="00173AFC"/>
    <w:sectPr w:rsidR="00173AFC" w:rsidSect="00196D0D">
      <w:headerReference w:type="default" r:id="rId4"/>
      <w:footerReference w:type="default" r:id="rId5"/>
      <w:pgSz w:w="12240" w:h="15840"/>
      <w:pgMar w:top="1440" w:right="72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D0D" w:rsidRPr="00A67571" w:rsidRDefault="005F5560" w:rsidP="00196D0D">
    <w:pPr>
      <w:pStyle w:val="Footer"/>
      <w:rPr>
        <w:rFonts w:ascii="Times New Roman" w:hAnsi="Times New Roman"/>
      </w:rPr>
    </w:pPr>
    <w:r w:rsidRPr="00A67571">
      <w:rPr>
        <w:rFonts w:ascii="Times New Roman" w:hAnsi="Times New Roman"/>
        <w:b/>
        <w:color w:val="FF0000"/>
      </w:rPr>
      <w:t>T</w:t>
    </w:r>
    <w:r w:rsidRPr="00A67571">
      <w:rPr>
        <w:rFonts w:ascii="Times New Roman" w:hAnsi="Times New Roman"/>
        <w:b/>
        <w:color w:val="FF0000"/>
      </w:rPr>
      <w:t>Ổ</w:t>
    </w:r>
    <w:r w:rsidRPr="00A67571">
      <w:rPr>
        <w:rFonts w:ascii="Times New Roman" w:hAnsi="Times New Roman"/>
        <w:b/>
        <w:color w:val="FF0000"/>
      </w:rPr>
      <w:t>NG ĐÀI TƯ V</w:t>
    </w:r>
    <w:r w:rsidRPr="00A67571">
      <w:rPr>
        <w:rFonts w:ascii="Times New Roman" w:hAnsi="Times New Roman"/>
        <w:b/>
        <w:color w:val="FF0000"/>
      </w:rPr>
      <w:t>Ấ</w:t>
    </w:r>
    <w:r w:rsidRPr="00A67571">
      <w:rPr>
        <w:rFonts w:ascii="Times New Roman" w:hAnsi="Times New Roman"/>
        <w:b/>
        <w:color w:val="FF0000"/>
      </w:rPr>
      <w:t>N PHÁP LU</w:t>
    </w:r>
    <w:r w:rsidRPr="00A67571">
      <w:rPr>
        <w:rFonts w:ascii="Times New Roman" w:hAnsi="Times New Roman"/>
        <w:b/>
        <w:color w:val="FF0000"/>
      </w:rPr>
      <w:t>Ậ</w:t>
    </w:r>
    <w:r w:rsidRPr="00A67571">
      <w:rPr>
        <w:rFonts w:ascii="Times New Roman" w:hAnsi="Times New Roman"/>
        <w:b/>
        <w:color w:val="FF0000"/>
      </w:rPr>
      <w:t>T TR</w:t>
    </w:r>
    <w:r w:rsidRPr="00A67571">
      <w:rPr>
        <w:rFonts w:ascii="Times New Roman" w:hAnsi="Times New Roman"/>
        <w:b/>
        <w:color w:val="FF0000"/>
      </w:rPr>
      <w:t>Ự</w:t>
    </w:r>
    <w:r w:rsidRPr="00A67571">
      <w:rPr>
        <w:rFonts w:ascii="Times New Roman" w:hAnsi="Times New Roman"/>
        <w:b/>
        <w:color w:val="FF0000"/>
      </w:rPr>
      <w:t>C TUY</w:t>
    </w:r>
    <w:r w:rsidRPr="00A67571">
      <w:rPr>
        <w:rFonts w:ascii="Times New Roman" w:hAnsi="Times New Roman"/>
        <w:b/>
        <w:color w:val="FF0000"/>
      </w:rPr>
      <w:t>Ế</w:t>
    </w:r>
    <w:r w:rsidRPr="00A67571">
      <w:rPr>
        <w:rFonts w:ascii="Times New Roman" w:hAnsi="Times New Roman"/>
        <w:b/>
        <w:color w:val="FF0000"/>
      </w:rPr>
      <w:t>N 24/7: 1900.6190 – 1900.6212</w:t>
    </w:r>
  </w:p>
  <w:p w:rsidR="00196D0D" w:rsidRPr="00A67571" w:rsidRDefault="005F5560">
    <w:pPr>
      <w:pStyle w:val="Footer"/>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70" w:type="dxa"/>
      <w:tblInd w:w="-318" w:type="dxa"/>
      <w:tblBorders>
        <w:bottom w:val="single" w:sz="4" w:space="0" w:color="auto"/>
      </w:tblBorders>
      <w:tblLayout w:type="fixed"/>
      <w:tblLook w:val="04A0"/>
    </w:tblPr>
    <w:tblGrid>
      <w:gridCol w:w="2412"/>
      <w:gridCol w:w="8358"/>
    </w:tblGrid>
    <w:tr w:rsidR="00196D0D" w:rsidRPr="00A67571" w:rsidTr="00196D0D">
      <w:trPr>
        <w:trHeight w:val="1208"/>
      </w:trPr>
      <w:tc>
        <w:tcPr>
          <w:tcW w:w="2411" w:type="dxa"/>
          <w:tcBorders>
            <w:top w:val="nil"/>
            <w:left w:val="nil"/>
            <w:bottom w:val="single" w:sz="4" w:space="0" w:color="auto"/>
            <w:right w:val="nil"/>
          </w:tcBorders>
          <w:vAlign w:val="center"/>
          <w:hideMark/>
        </w:tcPr>
        <w:p w:rsidR="00196D0D" w:rsidRPr="00A67571" w:rsidRDefault="005F5560" w:rsidP="00196D0D">
          <w:pPr>
            <w:rPr>
              <w:rFonts w:ascii="Times New Roman" w:hAnsi="Times New Roman"/>
              <w:b/>
              <w:sz w:val="20"/>
            </w:rPr>
          </w:pPr>
          <w:r w:rsidRPr="00A67571">
            <w:rPr>
              <w:rFonts w:ascii="Times New Roman" w:hAnsi="Times New Roman"/>
              <w:b/>
              <w:sz w:val="20"/>
            </w:rPr>
            <w:t xml:space="preserve">        </w:t>
          </w:r>
          <w:r w:rsidRPr="00AB13BB">
            <w:rPr>
              <w:rFonts w:ascii="Times New Roman" w:hAnsi="Times New Roman"/>
              <w:b/>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69pt">
                <v:imagedata r:id="rId1" o:title="1"/>
              </v:shape>
            </w:pict>
          </w:r>
          <w:r w:rsidRPr="00A67571">
            <w:rPr>
              <w:rFonts w:ascii="Times New Roman" w:hAnsi="Times New Roman"/>
              <w:b/>
              <w:sz w:val="20"/>
            </w:rPr>
            <w:t xml:space="preserve">                                                                                                                                                                                                                                                                </w:t>
          </w:r>
          <w:r w:rsidRPr="00A67571">
            <w:rPr>
              <w:rFonts w:ascii="Times New Roman" w:hAnsi="Times New Roman"/>
              <w:b/>
              <w:sz w:val="20"/>
            </w:rPr>
            <w:t xml:space="preserve">                                                                                                                                                                                                                              </w:t>
          </w:r>
        </w:p>
      </w:tc>
      <w:tc>
        <w:tcPr>
          <w:tcW w:w="8356" w:type="dxa"/>
          <w:tcBorders>
            <w:top w:val="nil"/>
            <w:left w:val="nil"/>
            <w:bottom w:val="single" w:sz="4" w:space="0" w:color="auto"/>
            <w:right w:val="nil"/>
          </w:tcBorders>
          <w:vAlign w:val="center"/>
          <w:hideMark/>
        </w:tcPr>
        <w:p w:rsidR="00196D0D" w:rsidRPr="0090684F" w:rsidRDefault="005F5560" w:rsidP="00196D0D">
          <w:pPr>
            <w:pStyle w:val="Heading6"/>
            <w:spacing w:before="0"/>
            <w:rPr>
              <w:rFonts w:ascii="Times New Roman" w:hAnsi="Times New Roman"/>
              <w:sz w:val="20"/>
            </w:rPr>
          </w:pPr>
          <w:r w:rsidRPr="0090684F">
            <w:rPr>
              <w:rFonts w:ascii="Times New Roman" w:hAnsi="Times New Roman"/>
              <w:sz w:val="20"/>
            </w:rPr>
            <w:t>CÔNG TY LUẬT TNHH DƯƠNG GIA – DUO</w:t>
          </w:r>
          <w:r w:rsidRPr="0090684F">
            <w:rPr>
              <w:rFonts w:ascii="Times New Roman" w:hAnsi="Times New Roman"/>
              <w:sz w:val="20"/>
            </w:rPr>
            <w:t xml:space="preserve">NG GIA LAW COMPANY LIMITED </w:t>
          </w:r>
        </w:p>
        <w:p w:rsidR="00196D0D" w:rsidRPr="00A67571" w:rsidRDefault="005F5560" w:rsidP="00196D0D">
          <w:pPr>
            <w:rPr>
              <w:rFonts w:ascii="Times New Roman" w:hAnsi="Times New Roman"/>
              <w:sz w:val="20"/>
            </w:rPr>
          </w:pPr>
          <w:r w:rsidRPr="00A67571">
            <w:rPr>
              <w:rFonts w:ascii="Times New Roman" w:hAnsi="Times New Roman"/>
              <w:sz w:val="20"/>
            </w:rPr>
            <w:t>No 2305, VNT Tower, 19  Nguyen Trai Street, Thanh Xuan District, Hanoi City, Viet Nam</w:t>
          </w:r>
        </w:p>
        <w:p w:rsidR="00196D0D" w:rsidRPr="00A67571" w:rsidRDefault="005F5560" w:rsidP="00196D0D">
          <w:pPr>
            <w:rPr>
              <w:rFonts w:ascii="Times New Roman" w:hAnsi="Times New Roman"/>
              <w:sz w:val="20"/>
            </w:rPr>
          </w:pPr>
          <w:r w:rsidRPr="00A67571">
            <w:rPr>
              <w:rFonts w:ascii="Times New Roman" w:hAnsi="Times New Roman"/>
              <w:sz w:val="20"/>
            </w:rPr>
            <w:t>Tel:   1900.6212 – 1900.6239 – 1900.6190   Fax: 04.3562.7716</w:t>
          </w:r>
        </w:p>
        <w:p w:rsidR="00196D0D" w:rsidRPr="00A67571" w:rsidRDefault="005F5560" w:rsidP="00196D0D">
          <w:pPr>
            <w:rPr>
              <w:rFonts w:ascii="Times New Roman" w:hAnsi="Times New Roman"/>
              <w:sz w:val="20"/>
            </w:rPr>
          </w:pPr>
          <w:r w:rsidRPr="00A67571">
            <w:rPr>
              <w:rFonts w:ascii="Times New Roman" w:hAnsi="Times New Roman"/>
              <w:sz w:val="20"/>
            </w:rPr>
            <w:t xml:space="preserve">Email: </w:t>
          </w:r>
          <w:hyperlink r:id="rId2" w:history="1">
            <w:r w:rsidRPr="00776A8D">
              <w:rPr>
                <w:rStyle w:val="Hyperlink"/>
                <w:rFonts w:ascii="Times New Roman" w:hAnsi="Times New Roman"/>
                <w:sz w:val="20"/>
              </w:rPr>
              <w:t>lienhe@luatduonggia.vn</w:t>
            </w:r>
          </w:hyperlink>
          <w:r w:rsidRPr="00A67571">
            <w:rPr>
              <w:rFonts w:ascii="Times New Roman" w:hAnsi="Times New Roman"/>
              <w:sz w:val="20"/>
            </w:rPr>
            <w:t>    Webs</w:t>
          </w:r>
          <w:r w:rsidRPr="00A67571">
            <w:rPr>
              <w:rFonts w:ascii="Times New Roman" w:hAnsi="Times New Roman"/>
              <w:sz w:val="20"/>
            </w:rPr>
            <w:t xml:space="preserve">ite: </w:t>
          </w:r>
          <w:hyperlink r:id="rId3" w:history="1">
            <w:r w:rsidRPr="00B330C7">
              <w:rPr>
                <w:rStyle w:val="Hyperlink"/>
                <w:rFonts w:ascii="Times New Roman" w:hAnsi="Times New Roman"/>
                <w:sz w:val="20"/>
              </w:rPr>
              <w:t>http://www.luatduonggia.vn</w:t>
            </w:r>
          </w:hyperlink>
        </w:p>
      </w:tc>
    </w:tr>
  </w:tbl>
  <w:p w:rsidR="00196D0D" w:rsidRPr="00A67571" w:rsidRDefault="005F5560">
    <w:pPr>
      <w:pStyle w:val="Header"/>
      <w:rPr>
        <w:rFonts w:ascii="Times New Roman" w:hAnsi="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savePreviewPicture/>
  <w:compat/>
  <w:rsids>
    <w:rsidRoot w:val="005F5560"/>
    <w:rsid w:val="00173AFC"/>
    <w:rsid w:val="005F55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560"/>
    <w:rPr>
      <w:rFonts w:ascii="Calibri" w:eastAsia="Calibri" w:hAnsi="Calibri" w:cs="Times New Roman"/>
    </w:rPr>
  </w:style>
  <w:style w:type="paragraph" w:styleId="Heading6">
    <w:name w:val="heading 6"/>
    <w:basedOn w:val="Normal"/>
    <w:next w:val="Normal"/>
    <w:link w:val="Heading6Char"/>
    <w:semiHidden/>
    <w:unhideWhenUsed/>
    <w:qFormat/>
    <w:rsid w:val="005F5560"/>
    <w:pPr>
      <w:spacing w:before="240" w:after="60" w:line="240" w:lineRule="auto"/>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5F5560"/>
    <w:rPr>
      <w:rFonts w:ascii="Calibri" w:eastAsia="Times New Roman" w:hAnsi="Calibri" w:cs="Times New Roman"/>
      <w:b/>
      <w:bCs/>
    </w:rPr>
  </w:style>
  <w:style w:type="character" w:styleId="Hyperlink">
    <w:name w:val="Hyperlink"/>
    <w:uiPriority w:val="99"/>
    <w:unhideWhenUsed/>
    <w:rsid w:val="005F5560"/>
    <w:rPr>
      <w:color w:val="0000FF"/>
      <w:u w:val="single"/>
    </w:rPr>
  </w:style>
  <w:style w:type="paragraph" w:styleId="Header">
    <w:name w:val="header"/>
    <w:basedOn w:val="Normal"/>
    <w:link w:val="HeaderChar"/>
    <w:unhideWhenUsed/>
    <w:rsid w:val="005F5560"/>
    <w:pPr>
      <w:tabs>
        <w:tab w:val="center" w:pos="4680"/>
        <w:tab w:val="right" w:pos="9360"/>
      </w:tabs>
    </w:pPr>
  </w:style>
  <w:style w:type="character" w:customStyle="1" w:styleId="HeaderChar">
    <w:name w:val="Header Char"/>
    <w:basedOn w:val="DefaultParagraphFont"/>
    <w:link w:val="Header"/>
    <w:rsid w:val="005F5560"/>
    <w:rPr>
      <w:rFonts w:ascii="Calibri" w:eastAsia="Calibri" w:hAnsi="Calibri" w:cs="Times New Roman"/>
    </w:rPr>
  </w:style>
  <w:style w:type="paragraph" w:styleId="Footer">
    <w:name w:val="footer"/>
    <w:basedOn w:val="Normal"/>
    <w:link w:val="FooterChar"/>
    <w:uiPriority w:val="99"/>
    <w:unhideWhenUsed/>
    <w:rsid w:val="005F5560"/>
    <w:pPr>
      <w:tabs>
        <w:tab w:val="center" w:pos="4680"/>
        <w:tab w:val="right" w:pos="9360"/>
      </w:tabs>
    </w:pPr>
  </w:style>
  <w:style w:type="character" w:customStyle="1" w:styleId="FooterChar">
    <w:name w:val="Footer Char"/>
    <w:basedOn w:val="DefaultParagraphFont"/>
    <w:link w:val="Footer"/>
    <w:uiPriority w:val="99"/>
    <w:rsid w:val="005F5560"/>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luatduonggia.vn" TargetMode="External"/><Relationship Id="rId2" Type="http://schemas.openxmlformats.org/officeDocument/2006/relationships/hyperlink" Target="mailto:lienhe@luatduonggia.v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1459</Words>
  <Characters>8321</Characters>
  <Application>Microsoft Office Word</Application>
  <DocSecurity>0</DocSecurity>
  <Lines>69</Lines>
  <Paragraphs>19</Paragraphs>
  <ScaleCrop>false</ScaleCrop>
  <Company>Grizli777</Company>
  <LinksUpToDate>false</LinksUpToDate>
  <CharactersWithSpaces>9761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dc:creator>
  <cp:lastModifiedBy>hoa</cp:lastModifiedBy>
  <cp:revision>1</cp:revision>
  <dcterms:created xsi:type="dcterms:W3CDTF">2015-04-09T03:00:00Z</dcterms:created>
  <dcterms:modified xsi:type="dcterms:W3CDTF">2015-04-09T03:01:00Z</dcterms:modified>
</cp:coreProperties>
</file>