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400"/>
      </w:tblGrid>
      <w:tr w:rsidR="00C4744B" w:rsidRPr="00C4744B" w:rsidTr="00C4744B">
        <w:trPr>
          <w:tblCellSpacing w:w="0" w:type="dxa"/>
        </w:trPr>
        <w:tc>
          <w:tcPr>
            <w:tcW w:w="3240" w:type="dxa"/>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ỦY BAN NHÂN DÂN</w:t>
            </w:r>
            <w:r w:rsidRPr="00C4744B">
              <w:rPr>
                <w:b/>
                <w:bCs/>
                <w:color w:val="000000"/>
              </w:rPr>
              <w:br/>
              <w:t>TỈNH</w:t>
            </w:r>
            <w:r w:rsidRPr="00C4744B">
              <w:rPr>
                <w:rStyle w:val="apple-converted-space"/>
                <w:b/>
                <w:bCs/>
                <w:color w:val="000000"/>
              </w:rPr>
              <w:t> </w:t>
            </w:r>
            <w:r w:rsidRPr="00C4744B">
              <w:rPr>
                <w:b/>
                <w:bCs/>
                <w:color w:val="000000"/>
              </w:rPr>
              <w:t>NINH THUẬN</w:t>
            </w:r>
            <w:r w:rsidRPr="00C4744B">
              <w:rPr>
                <w:b/>
                <w:bCs/>
                <w:color w:val="000000"/>
              </w:rPr>
              <w:br/>
              <w:t>-------</w:t>
            </w:r>
          </w:p>
        </w:tc>
        <w:tc>
          <w:tcPr>
            <w:tcW w:w="5400" w:type="dxa"/>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CỘNG HÒA XÃ HỘI CHỦ NGHĨA VIỆT NAM</w:t>
            </w:r>
            <w:r w:rsidRPr="00C4744B">
              <w:rPr>
                <w:b/>
                <w:bCs/>
                <w:color w:val="000000"/>
              </w:rPr>
              <w:br/>
              <w:t>Độc lập - Tự do - Hạnh phúc</w:t>
            </w:r>
            <w:r w:rsidRPr="00C4744B">
              <w:rPr>
                <w:b/>
                <w:bCs/>
                <w:color w:val="000000"/>
              </w:rPr>
              <w:br/>
              <w:t>---------------</w:t>
            </w:r>
          </w:p>
        </w:tc>
      </w:tr>
      <w:tr w:rsidR="00C4744B" w:rsidRPr="00C4744B" w:rsidTr="00C4744B">
        <w:trPr>
          <w:tblCellSpacing w:w="0" w:type="dxa"/>
        </w:trPr>
        <w:tc>
          <w:tcPr>
            <w:tcW w:w="3240" w:type="dxa"/>
            <w:shd w:val="clear" w:color="auto" w:fill="FFFFFF"/>
            <w:hideMark/>
          </w:tcPr>
          <w:p w:rsidR="00C4744B" w:rsidRPr="00C4744B" w:rsidRDefault="00C4744B" w:rsidP="00C4744B">
            <w:pPr>
              <w:pStyle w:val="NormalWeb"/>
              <w:spacing w:before="0" w:beforeAutospacing="0" w:after="0" w:afterAutospacing="0" w:line="360" w:lineRule="auto"/>
              <w:jc w:val="center"/>
              <w:rPr>
                <w:color w:val="000000"/>
              </w:rPr>
            </w:pPr>
            <w:r w:rsidRPr="00C4744B">
              <w:rPr>
                <w:color w:val="000000"/>
              </w:rPr>
              <w:t>Số:</w:t>
            </w:r>
            <w:r w:rsidRPr="00C4744B">
              <w:rPr>
                <w:rStyle w:val="apple-converted-space"/>
                <w:color w:val="000000"/>
              </w:rPr>
              <w:t> </w:t>
            </w:r>
            <w:bookmarkStart w:id="0" w:name="ole_link1"/>
            <w:bookmarkStart w:id="1" w:name="ole_link2"/>
            <w:bookmarkStart w:id="2" w:name="ole_link3"/>
            <w:bookmarkStart w:id="3" w:name="ole_link4"/>
            <w:bookmarkStart w:id="4" w:name="ole_link5"/>
            <w:bookmarkStart w:id="5" w:name="ole_link6"/>
            <w:bookmarkStart w:id="6" w:name="_GoBack"/>
            <w:bookmarkEnd w:id="0"/>
            <w:bookmarkEnd w:id="1"/>
            <w:bookmarkEnd w:id="2"/>
            <w:bookmarkEnd w:id="3"/>
            <w:bookmarkEnd w:id="4"/>
            <w:bookmarkEnd w:id="5"/>
            <w:r w:rsidRPr="00C4744B">
              <w:rPr>
                <w:color w:val="000000"/>
              </w:rPr>
              <w:t>77/2015/QĐ-UBND</w:t>
            </w:r>
            <w:bookmarkEnd w:id="6"/>
          </w:p>
        </w:tc>
        <w:tc>
          <w:tcPr>
            <w:tcW w:w="5400" w:type="dxa"/>
            <w:shd w:val="clear" w:color="auto" w:fill="FFFFFF"/>
            <w:hideMark/>
          </w:tcPr>
          <w:p w:rsidR="00C4744B" w:rsidRPr="00C4744B" w:rsidRDefault="00C4744B" w:rsidP="00C4744B">
            <w:pPr>
              <w:pStyle w:val="NormalWeb"/>
              <w:spacing w:before="120" w:beforeAutospacing="0" w:after="0" w:afterAutospacing="0" w:line="360" w:lineRule="auto"/>
              <w:jc w:val="right"/>
              <w:rPr>
                <w:color w:val="000000"/>
              </w:rPr>
            </w:pPr>
            <w:r w:rsidRPr="00C4744B">
              <w:rPr>
                <w:i/>
                <w:iCs/>
                <w:color w:val="000000"/>
              </w:rPr>
              <w:t>Phan Rang - Tháp Chàm, ngày</w:t>
            </w:r>
            <w:r w:rsidRPr="00C4744B">
              <w:rPr>
                <w:rStyle w:val="apple-converted-space"/>
                <w:i/>
                <w:iCs/>
                <w:color w:val="000000"/>
              </w:rPr>
              <w:t> </w:t>
            </w:r>
            <w:r w:rsidRPr="00C4744B">
              <w:rPr>
                <w:i/>
                <w:iCs/>
                <w:color w:val="000000"/>
              </w:rPr>
              <w:t>09</w:t>
            </w:r>
            <w:r w:rsidRPr="00C4744B">
              <w:rPr>
                <w:rStyle w:val="apple-converted-space"/>
                <w:i/>
                <w:iCs/>
                <w:color w:val="000000"/>
              </w:rPr>
              <w:t> </w:t>
            </w:r>
            <w:r w:rsidRPr="00C4744B">
              <w:rPr>
                <w:i/>
                <w:iCs/>
                <w:color w:val="000000"/>
              </w:rPr>
              <w:t>tháng</w:t>
            </w:r>
            <w:r w:rsidRPr="00C4744B">
              <w:rPr>
                <w:rStyle w:val="apple-converted-space"/>
                <w:i/>
                <w:iCs/>
                <w:color w:val="000000"/>
              </w:rPr>
              <w:t> </w:t>
            </w:r>
            <w:r w:rsidRPr="00C4744B">
              <w:rPr>
                <w:i/>
                <w:iCs/>
                <w:color w:val="000000"/>
              </w:rPr>
              <w:t>11</w:t>
            </w:r>
            <w:r w:rsidRPr="00C4744B">
              <w:rPr>
                <w:rStyle w:val="apple-converted-space"/>
                <w:i/>
                <w:iCs/>
                <w:color w:val="000000"/>
              </w:rPr>
              <w:t> </w:t>
            </w:r>
            <w:r w:rsidRPr="00C4744B">
              <w:rPr>
                <w:i/>
                <w:iCs/>
                <w:color w:val="000000"/>
              </w:rPr>
              <w:t>năm 2015</w:t>
            </w:r>
          </w:p>
        </w:tc>
      </w:tr>
    </w:tbl>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t> </w:t>
      </w:r>
    </w:p>
    <w:p w:rsidR="00C4744B" w:rsidRPr="00C4744B" w:rsidRDefault="00C4744B" w:rsidP="00C4744B">
      <w:pPr>
        <w:pStyle w:val="NormalWeb"/>
        <w:shd w:val="clear" w:color="auto" w:fill="FFFFFF"/>
        <w:spacing w:before="120" w:beforeAutospacing="0" w:after="0" w:afterAutospacing="0" w:line="360" w:lineRule="auto"/>
        <w:jc w:val="center"/>
        <w:rPr>
          <w:color w:val="000000"/>
        </w:rPr>
      </w:pPr>
      <w:r w:rsidRPr="00C4744B">
        <w:rPr>
          <w:b/>
          <w:bCs/>
          <w:color w:val="000000"/>
        </w:rPr>
        <w:t>QUYẾT ĐỊNH</w:t>
      </w:r>
    </w:p>
    <w:p w:rsidR="00C4744B" w:rsidRPr="00C4744B" w:rsidRDefault="00C4744B" w:rsidP="00C4744B">
      <w:pPr>
        <w:pStyle w:val="NormalWeb"/>
        <w:shd w:val="clear" w:color="auto" w:fill="FFFFFF"/>
        <w:spacing w:before="120" w:beforeAutospacing="0" w:after="0" w:afterAutospacing="0" w:line="360" w:lineRule="auto"/>
        <w:jc w:val="center"/>
        <w:rPr>
          <w:color w:val="000000"/>
        </w:rPr>
      </w:pPr>
      <w:r w:rsidRPr="00C4744B">
        <w:rPr>
          <w:color w:val="000000"/>
        </w:rPr>
        <w:t>VỀ VIỆC QUY ĐỊNH MỨC THU, CHẾ ĐỘ THU, NỘP, QUẢN LÝ VÀ SỬ DỤNG PHÍ VỆ SINH TRÊN ĐỊA BÀN TỈNH NINH THUẬN</w:t>
      </w:r>
    </w:p>
    <w:p w:rsidR="00C4744B" w:rsidRPr="00C4744B" w:rsidRDefault="00C4744B" w:rsidP="00C4744B">
      <w:pPr>
        <w:pStyle w:val="NormalWeb"/>
        <w:shd w:val="clear" w:color="auto" w:fill="FFFFFF"/>
        <w:spacing w:before="120" w:beforeAutospacing="0" w:after="0" w:afterAutospacing="0" w:line="360" w:lineRule="auto"/>
        <w:jc w:val="center"/>
        <w:rPr>
          <w:color w:val="000000"/>
        </w:rPr>
      </w:pPr>
      <w:r w:rsidRPr="00C4744B">
        <w:rPr>
          <w:b/>
          <w:bCs/>
          <w:color w:val="000000"/>
        </w:rPr>
        <w:t>ỦY BAN NHÂN DÂN TỈNH NINH THUẬN</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i/>
          <w:iCs/>
          <w:color w:val="000000"/>
        </w:rPr>
        <w:t>Căn cứ Luật tổ chức Hội đồng nhân dân và Ủy ban nhân dân năm 2003;</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i/>
          <w:iCs/>
          <w:color w:val="000000"/>
        </w:rPr>
        <w:t>Căn cứ Luật Ban hành văn bản quy phạm pháp luật của Hội đồng nhân dân, Ủy ban nhân dân năm 2004;</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i/>
          <w:iCs/>
          <w:color w:val="000000"/>
        </w:rPr>
        <w:t>Căn cứ Pháp lệnh Phí và lệ phí năm 2001;</w:t>
      </w:r>
    </w:p>
    <w:p w:rsidR="00C4744B" w:rsidRPr="00C4744B" w:rsidRDefault="00C4744B" w:rsidP="00C4744B">
      <w:pPr>
        <w:pStyle w:val="NormalWeb"/>
        <w:shd w:val="clear" w:color="auto" w:fill="FFFFFF"/>
        <w:spacing w:before="0" w:beforeAutospacing="0" w:after="0" w:afterAutospacing="0" w:line="360" w:lineRule="auto"/>
        <w:rPr>
          <w:color w:val="000000"/>
        </w:rPr>
      </w:pPr>
      <w:r w:rsidRPr="00C4744B">
        <w:rPr>
          <w:i/>
          <w:iCs/>
          <w:color w:val="000000"/>
        </w:rPr>
        <w:t>Căn cứ Nghị định số</w:t>
      </w:r>
      <w:r w:rsidRPr="00C4744B">
        <w:rPr>
          <w:rStyle w:val="apple-converted-space"/>
          <w:i/>
          <w:iCs/>
          <w:color w:val="000000"/>
        </w:rPr>
        <w:t> </w:t>
      </w:r>
      <w:r w:rsidRPr="00C4744B">
        <w:rPr>
          <w:i/>
          <w:iCs/>
          <w:color w:val="000000"/>
        </w:rPr>
        <w:t>57/2002/NĐ-CP</w:t>
      </w:r>
      <w:r w:rsidRPr="00C4744B">
        <w:rPr>
          <w:rStyle w:val="apple-converted-space"/>
          <w:i/>
          <w:iCs/>
          <w:color w:val="000000"/>
        </w:rPr>
        <w:t> </w:t>
      </w:r>
      <w:r w:rsidRPr="00C4744B">
        <w:rPr>
          <w:i/>
          <w:iCs/>
          <w:color w:val="000000"/>
        </w:rPr>
        <w:t>ngày 03/6/2002 và Nghị định số</w:t>
      </w:r>
      <w:r w:rsidRPr="00C4744B">
        <w:rPr>
          <w:rStyle w:val="apple-converted-space"/>
          <w:i/>
          <w:iCs/>
          <w:color w:val="000000"/>
        </w:rPr>
        <w:t> </w:t>
      </w:r>
      <w:r w:rsidRPr="00C4744B">
        <w:rPr>
          <w:i/>
          <w:iCs/>
          <w:color w:val="000000"/>
        </w:rPr>
        <w:t>24/2006/NĐ-CP</w:t>
      </w:r>
      <w:r w:rsidRPr="00C4744B">
        <w:rPr>
          <w:rStyle w:val="apple-converted-space"/>
          <w:i/>
          <w:iCs/>
          <w:color w:val="000000"/>
        </w:rPr>
        <w:t> </w:t>
      </w:r>
      <w:r w:rsidRPr="00C4744B">
        <w:rPr>
          <w:i/>
          <w:iCs/>
          <w:color w:val="000000"/>
        </w:rPr>
        <w:t>ngày 06/3/2006 của Chính phủ sửa đổi, bổ sung một số điều của Nghị định số</w:t>
      </w:r>
      <w:r w:rsidRPr="00C4744B">
        <w:rPr>
          <w:rStyle w:val="apple-converted-space"/>
          <w:i/>
          <w:iCs/>
          <w:color w:val="000000"/>
        </w:rPr>
        <w:t> </w:t>
      </w:r>
      <w:r w:rsidRPr="00C4744B">
        <w:rPr>
          <w:i/>
          <w:iCs/>
          <w:color w:val="000000"/>
        </w:rPr>
        <w:t>57/2002/NĐ-CP</w:t>
      </w:r>
      <w:r w:rsidRPr="00C4744B">
        <w:rPr>
          <w:rStyle w:val="apple-converted-space"/>
          <w:i/>
          <w:iCs/>
          <w:color w:val="000000"/>
        </w:rPr>
        <w:t> </w:t>
      </w:r>
      <w:r w:rsidRPr="00C4744B">
        <w:rPr>
          <w:i/>
          <w:iCs/>
          <w:color w:val="000000"/>
        </w:rPr>
        <w:t>ngày 03/6/2002 quy định chi tiết thi hành pháp lệnh phí và lệ phí;</w:t>
      </w:r>
    </w:p>
    <w:p w:rsidR="00C4744B" w:rsidRPr="00C4744B" w:rsidRDefault="00C4744B" w:rsidP="00C4744B">
      <w:pPr>
        <w:pStyle w:val="NormalWeb"/>
        <w:shd w:val="clear" w:color="auto" w:fill="FFFFFF"/>
        <w:spacing w:before="0" w:beforeAutospacing="0" w:after="0" w:afterAutospacing="0" w:line="360" w:lineRule="auto"/>
        <w:rPr>
          <w:color w:val="000000"/>
        </w:rPr>
      </w:pPr>
      <w:r w:rsidRPr="00C4744B">
        <w:rPr>
          <w:i/>
          <w:iCs/>
          <w:color w:val="000000"/>
        </w:rPr>
        <w:t>Căn cứ Thông tư số</w:t>
      </w:r>
      <w:r w:rsidRPr="00C4744B">
        <w:rPr>
          <w:rStyle w:val="apple-converted-space"/>
          <w:i/>
          <w:iCs/>
          <w:color w:val="000000"/>
        </w:rPr>
        <w:t> </w:t>
      </w:r>
      <w:r w:rsidRPr="00C4744B">
        <w:rPr>
          <w:i/>
          <w:iCs/>
          <w:color w:val="000000"/>
        </w:rPr>
        <w:t>63/2002/TT-BTC</w:t>
      </w:r>
      <w:r w:rsidRPr="00C4744B">
        <w:rPr>
          <w:rStyle w:val="apple-converted-space"/>
          <w:i/>
          <w:iCs/>
          <w:color w:val="000000"/>
        </w:rPr>
        <w:t> </w:t>
      </w:r>
      <w:r w:rsidRPr="00C4744B">
        <w:rPr>
          <w:i/>
          <w:iCs/>
          <w:color w:val="000000"/>
        </w:rPr>
        <w:t>ngày 24/7/2002 và Thông tư số</w:t>
      </w:r>
      <w:r w:rsidRPr="00C4744B">
        <w:rPr>
          <w:rStyle w:val="apple-converted-space"/>
          <w:i/>
          <w:iCs/>
          <w:color w:val="000000"/>
        </w:rPr>
        <w:t> </w:t>
      </w:r>
      <w:r w:rsidRPr="00C4744B">
        <w:rPr>
          <w:i/>
          <w:iCs/>
          <w:color w:val="000000"/>
        </w:rPr>
        <w:t>45/2006/TT-BTC</w:t>
      </w:r>
      <w:r w:rsidRPr="00C4744B">
        <w:rPr>
          <w:rStyle w:val="apple-converted-space"/>
          <w:i/>
          <w:iCs/>
          <w:color w:val="000000"/>
        </w:rPr>
        <w:t> </w:t>
      </w:r>
      <w:r w:rsidRPr="00C4744B">
        <w:rPr>
          <w:i/>
          <w:iCs/>
          <w:color w:val="000000"/>
        </w:rPr>
        <w:t>ngày 25/5/2006 của Bộ Tài chính sửa đổi, bổ</w:t>
      </w:r>
      <w:r w:rsidRPr="00C4744B">
        <w:rPr>
          <w:rStyle w:val="apple-converted-space"/>
          <w:i/>
          <w:iCs/>
          <w:color w:val="000000"/>
        </w:rPr>
        <w:t> </w:t>
      </w:r>
      <w:r w:rsidRPr="00C4744B">
        <w:rPr>
          <w:i/>
          <w:iCs/>
          <w:color w:val="000000"/>
        </w:rPr>
        <w:t>sung Thông tư số</w:t>
      </w:r>
      <w:r w:rsidRPr="00C4744B">
        <w:rPr>
          <w:rStyle w:val="apple-converted-space"/>
          <w:i/>
          <w:iCs/>
          <w:color w:val="000000"/>
        </w:rPr>
        <w:t> </w:t>
      </w:r>
      <w:r w:rsidRPr="00C4744B">
        <w:rPr>
          <w:i/>
          <w:iCs/>
          <w:color w:val="000000"/>
        </w:rPr>
        <w:t>63/2002/TT-BTC</w:t>
      </w:r>
      <w:r w:rsidRPr="00C4744B">
        <w:rPr>
          <w:rStyle w:val="apple-converted-space"/>
          <w:i/>
          <w:iCs/>
          <w:color w:val="000000"/>
        </w:rPr>
        <w:t> </w:t>
      </w:r>
      <w:r w:rsidRPr="00C4744B">
        <w:rPr>
          <w:i/>
          <w:iCs/>
          <w:color w:val="000000"/>
        </w:rPr>
        <w:t>ngày 24/7/2002 hướng dẫn thực hiện các quy định pháp luật về phí, lệ phí;</w:t>
      </w:r>
    </w:p>
    <w:p w:rsidR="00C4744B" w:rsidRPr="00C4744B" w:rsidRDefault="00C4744B" w:rsidP="00C4744B">
      <w:pPr>
        <w:pStyle w:val="NormalWeb"/>
        <w:shd w:val="clear" w:color="auto" w:fill="FFFFFF"/>
        <w:spacing w:before="0" w:beforeAutospacing="0" w:after="0" w:afterAutospacing="0" w:line="360" w:lineRule="auto"/>
        <w:rPr>
          <w:color w:val="000000"/>
        </w:rPr>
      </w:pPr>
      <w:r w:rsidRPr="00C4744B">
        <w:rPr>
          <w:i/>
          <w:iCs/>
          <w:color w:val="000000"/>
        </w:rPr>
        <w:t>Căn cứ Thông tư số</w:t>
      </w:r>
      <w:r w:rsidRPr="00C4744B">
        <w:rPr>
          <w:rStyle w:val="apple-converted-space"/>
          <w:i/>
          <w:iCs/>
          <w:color w:val="000000"/>
        </w:rPr>
        <w:t> </w:t>
      </w:r>
      <w:r w:rsidRPr="00C4744B">
        <w:rPr>
          <w:i/>
          <w:iCs/>
          <w:color w:val="000000"/>
        </w:rPr>
        <w:t>02/2014/TT-BTC</w:t>
      </w:r>
      <w:r w:rsidRPr="00C4744B">
        <w:rPr>
          <w:rStyle w:val="apple-converted-space"/>
          <w:i/>
          <w:iCs/>
          <w:color w:val="000000"/>
        </w:rPr>
        <w:t> </w:t>
      </w:r>
      <w:r w:rsidRPr="00C4744B">
        <w:rPr>
          <w:i/>
          <w:iCs/>
          <w:color w:val="000000"/>
        </w:rPr>
        <w:t>02/01/2014 của Bộ Tài chính hướng dẫn về phí và lệ phí thuộc thẩm quyền quyết định Hội đồng nhân dân tỉnh, thành phố trực thuộc Trung ương;</w:t>
      </w:r>
    </w:p>
    <w:p w:rsidR="00C4744B" w:rsidRPr="00C4744B" w:rsidRDefault="00C4744B" w:rsidP="00C4744B">
      <w:pPr>
        <w:pStyle w:val="NormalWeb"/>
        <w:shd w:val="clear" w:color="auto" w:fill="FFFFFF"/>
        <w:spacing w:before="0" w:beforeAutospacing="0" w:after="0" w:afterAutospacing="0" w:line="360" w:lineRule="auto"/>
        <w:rPr>
          <w:color w:val="000000"/>
        </w:rPr>
      </w:pPr>
      <w:r w:rsidRPr="00C4744B">
        <w:rPr>
          <w:i/>
          <w:iCs/>
          <w:color w:val="000000"/>
        </w:rPr>
        <w:t>Căn cứ Nghị quyết số</w:t>
      </w:r>
      <w:r w:rsidRPr="00C4744B">
        <w:rPr>
          <w:rStyle w:val="apple-converted-space"/>
          <w:i/>
          <w:iCs/>
          <w:color w:val="000000"/>
        </w:rPr>
        <w:t> </w:t>
      </w:r>
      <w:r w:rsidRPr="00C4744B">
        <w:rPr>
          <w:i/>
          <w:iCs/>
          <w:color w:val="000000"/>
        </w:rPr>
        <w:t>17/2015/NQ-HĐND</w:t>
      </w:r>
      <w:r w:rsidRPr="00C4744B">
        <w:rPr>
          <w:rStyle w:val="apple-converted-space"/>
          <w:i/>
          <w:iCs/>
          <w:color w:val="000000"/>
        </w:rPr>
        <w:t> </w:t>
      </w:r>
      <w:r w:rsidRPr="00C4744B">
        <w:rPr>
          <w:i/>
          <w:iCs/>
          <w:color w:val="000000"/>
        </w:rPr>
        <w:t>ngày 20/7/2015 của Hội đồng nhân dân tỉnh Ninh Thuận về quy định mức thu, chế</w:t>
      </w:r>
      <w:r w:rsidRPr="00C4744B">
        <w:rPr>
          <w:rStyle w:val="apple-converted-space"/>
          <w:i/>
          <w:iCs/>
          <w:color w:val="000000"/>
        </w:rPr>
        <w:t> </w:t>
      </w:r>
      <w:r w:rsidRPr="00C4744B">
        <w:rPr>
          <w:i/>
          <w:iCs/>
          <w:color w:val="000000"/>
        </w:rPr>
        <w:t>độ thu, nộp, quản lý và sử dụng phí vệ sinh trên địa bàn tỉnh Ninh Thuận;</w:t>
      </w:r>
    </w:p>
    <w:p w:rsidR="00C4744B" w:rsidRPr="00C4744B" w:rsidRDefault="00C4744B" w:rsidP="00C4744B">
      <w:pPr>
        <w:pStyle w:val="NormalWeb"/>
        <w:shd w:val="clear" w:color="auto" w:fill="FFFFFF"/>
        <w:spacing w:before="0" w:beforeAutospacing="0" w:after="0" w:afterAutospacing="0" w:line="360" w:lineRule="auto"/>
        <w:rPr>
          <w:color w:val="000000"/>
        </w:rPr>
      </w:pPr>
      <w:r w:rsidRPr="00C4744B">
        <w:rPr>
          <w:i/>
          <w:iCs/>
          <w:color w:val="000000"/>
        </w:rPr>
        <w:lastRenderedPageBreak/>
        <w:t>Theo đề nghị của Cục trưởng Cục Thuế tại Tờ trình số</w:t>
      </w:r>
      <w:r w:rsidRPr="00C4744B">
        <w:rPr>
          <w:rStyle w:val="apple-converted-space"/>
          <w:i/>
          <w:iCs/>
          <w:color w:val="0E70C3"/>
        </w:rPr>
        <w:t> </w:t>
      </w:r>
      <w:r w:rsidRPr="00C4744B">
        <w:rPr>
          <w:i/>
          <w:iCs/>
          <w:color w:val="000000"/>
        </w:rPr>
        <w:t>2964/TTr-CT</w:t>
      </w:r>
      <w:r w:rsidRPr="00C4744B">
        <w:rPr>
          <w:rStyle w:val="apple-converted-space"/>
          <w:i/>
          <w:iCs/>
          <w:color w:val="000000"/>
        </w:rPr>
        <w:t> </w:t>
      </w:r>
      <w:r w:rsidRPr="00C4744B">
        <w:rPr>
          <w:i/>
          <w:iCs/>
          <w:color w:val="000000"/>
        </w:rPr>
        <w:t>ngày 03/11/2015 về việc đề nghị Ủy ban nhân dân tỉnh ban hành quy định mức thu, chế độ thu, nộp, quản lý và sử dụng phí vệ sinh trên địa bàn tỉnh Ninh Thuận và Báo cáo kết quả thẩm định tại Văn bản số</w:t>
      </w:r>
      <w:r w:rsidRPr="00C4744B">
        <w:rPr>
          <w:rStyle w:val="apple-converted-space"/>
          <w:i/>
          <w:iCs/>
          <w:color w:val="0E70C3"/>
        </w:rPr>
        <w:t> </w:t>
      </w:r>
      <w:r w:rsidRPr="00C4744B">
        <w:rPr>
          <w:i/>
          <w:iCs/>
          <w:color w:val="000000"/>
        </w:rPr>
        <w:t>1891/BC-STP</w:t>
      </w:r>
      <w:r w:rsidRPr="00C4744B">
        <w:rPr>
          <w:i/>
          <w:iCs/>
          <w:color w:val="000000"/>
        </w:rPr>
        <w:t>ngày 02/11/2015 của Sở Tư pháp,</w:t>
      </w:r>
    </w:p>
    <w:p w:rsidR="00C4744B" w:rsidRPr="00C4744B" w:rsidRDefault="00C4744B" w:rsidP="00C4744B">
      <w:pPr>
        <w:pStyle w:val="NormalWeb"/>
        <w:shd w:val="clear" w:color="auto" w:fill="FFFFFF"/>
        <w:spacing w:before="120" w:beforeAutospacing="0" w:after="0" w:afterAutospacing="0" w:line="360" w:lineRule="auto"/>
        <w:jc w:val="center"/>
        <w:rPr>
          <w:color w:val="000000"/>
        </w:rPr>
      </w:pPr>
      <w:r w:rsidRPr="00C4744B">
        <w:rPr>
          <w:b/>
          <w:bCs/>
          <w:color w:val="000000"/>
        </w:rPr>
        <w:t>QUYẾT ĐỊNH:</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b/>
          <w:bCs/>
          <w:color w:val="000000"/>
        </w:rPr>
        <w:t>Điều 1. Đối tượng nộp và</w:t>
      </w:r>
      <w:r w:rsidRPr="00C4744B">
        <w:rPr>
          <w:rStyle w:val="apple-converted-space"/>
          <w:b/>
          <w:bCs/>
          <w:color w:val="000000"/>
        </w:rPr>
        <w:t> </w:t>
      </w:r>
      <w:r w:rsidRPr="00C4744B">
        <w:rPr>
          <w:b/>
          <w:bCs/>
          <w:color w:val="000000"/>
        </w:rPr>
        <w:t>cơ</w:t>
      </w:r>
      <w:r w:rsidRPr="00C4744B">
        <w:rPr>
          <w:rStyle w:val="apple-converted-space"/>
          <w:b/>
          <w:bCs/>
          <w:color w:val="000000"/>
        </w:rPr>
        <w:t> </w:t>
      </w:r>
      <w:r w:rsidRPr="00C4744B">
        <w:rPr>
          <w:b/>
          <w:bCs/>
          <w:color w:val="000000"/>
        </w:rPr>
        <w:t>quan thu Phí</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b/>
          <w:bCs/>
          <w:color w:val="000000"/>
        </w:rPr>
        <w:t>1. Đối tượng nộp Phí</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t>Các cá nhân cư trú, hộ gia đình, đơn vị hành chính, sự nghiệp, cơ sở sản xuất, kinh doanh nơi có tổ chức hoạt động thu gom và vận chuyển rác thải trên địa bàn tỉnh Ninh Thuận.</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b/>
          <w:bCs/>
          <w:color w:val="000000"/>
        </w:rPr>
        <w:t>2. Đơn vị</w:t>
      </w:r>
      <w:r w:rsidRPr="00C4744B">
        <w:rPr>
          <w:rStyle w:val="apple-converted-space"/>
          <w:b/>
          <w:bCs/>
          <w:color w:val="000000"/>
        </w:rPr>
        <w:t> </w:t>
      </w:r>
      <w:r w:rsidRPr="00C4744B">
        <w:rPr>
          <w:b/>
          <w:bCs/>
          <w:color w:val="000000"/>
        </w:rPr>
        <w:t>thu Phí</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t>Các tổ chức, cơ quan, đơn vị được cấp có thẩm quyền cho phép tổ chức thu phí vệ sinh trên địa bàn tỉnh Ninh Thuận.</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b/>
          <w:bCs/>
          <w:color w:val="000000"/>
        </w:rPr>
        <w:t>Điều 2. Mức thu Phí</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54"/>
        <w:gridCol w:w="4646"/>
        <w:gridCol w:w="1997"/>
        <w:gridCol w:w="1373"/>
      </w:tblGrid>
      <w:tr w:rsidR="00C4744B" w:rsidRPr="00C4744B" w:rsidTr="00C4744B">
        <w:trPr>
          <w:tblCellSpacing w:w="0" w:type="dxa"/>
        </w:trPr>
        <w:tc>
          <w:tcPr>
            <w:tcW w:w="754"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stt</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Đối tượng nộp phí vệ sinh</w:t>
            </w:r>
          </w:p>
        </w:tc>
        <w:tc>
          <w:tcPr>
            <w:tcW w:w="1997"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Đơn vị tính</w:t>
            </w:r>
          </w:p>
        </w:tc>
        <w:tc>
          <w:tcPr>
            <w:tcW w:w="1373" w:type="dxa"/>
            <w:tcBorders>
              <w:top w:val="single" w:sz="8" w:space="0" w:color="auto"/>
              <w:left w:val="single" w:sz="8" w:space="0" w:color="auto"/>
              <w:bottom w:val="nil"/>
              <w:right w:val="single" w:sz="8" w:space="0" w:color="auto"/>
            </w:tcBorders>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Mức thu</w:t>
            </w:r>
          </w:p>
        </w:tc>
      </w:tr>
      <w:tr w:rsidR="00C4744B" w:rsidRPr="00C4744B" w:rsidTr="00C4744B">
        <w:trPr>
          <w:tblCellSpacing w:w="0" w:type="dxa"/>
        </w:trPr>
        <w:tc>
          <w:tcPr>
            <w:tcW w:w="754"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I</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b/>
                <w:bCs/>
                <w:color w:val="000000"/>
              </w:rPr>
              <w:t>Hộ gia đình</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Hộ gia đình không sản xuất kinh doanh, dịch vụ (SXKD - DV) ở các xã nơi có tổ chức hoạt động thu gom rác.</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10.000</w:t>
            </w:r>
          </w:p>
        </w:tc>
      </w:tr>
      <w:tr w:rsidR="00C4744B" w:rsidRPr="00C4744B" w:rsidTr="00C4744B">
        <w:trPr>
          <w:tblCellSpacing w:w="0" w:type="dxa"/>
        </w:trPr>
        <w:tc>
          <w:tcPr>
            <w:tcW w:w="754"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Hộ gia đình không SXKD - DV ở các phường, thị trấn.</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15.000</w:t>
            </w:r>
          </w:p>
        </w:tc>
      </w:tr>
      <w:tr w:rsidR="00C4744B" w:rsidRPr="00C4744B" w:rsidTr="00C4744B">
        <w:trPr>
          <w:tblCellSpacing w:w="0" w:type="dxa"/>
        </w:trPr>
        <w:tc>
          <w:tcPr>
            <w:tcW w:w="754" w:type="dxa"/>
            <w:vMerge w:val="restart"/>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3</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Hộ gia đình SXKD - DV (bao gồm cả nhà trẻ quy mô hộ gia đình) ở các xã nơi có tổ chức hoạt động thu gom rác.</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Hộ có mức doanh thu khoán từ 192 triệu đồng/năm trở lên (hoặc từ 16 triệu đồng/tháng trở lên)</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Trong đó: hộ kinh doanh ăn uống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60.000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Hộ có mức doanh thu khoán từ 60 triệu đến dưới 192 triệu đồng/năm (hoặc từ 5 triệu đến dưới 16 triệu đồng/tháng)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Trong đó: hộ kinh doanh ăn uống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45.000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Hộ có mức doanh thu khoán dưới 60 triệu đồng/năm (hoặc dưới 5 triệu đồng/tháng)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Trong đó: hộ kinh doanh ăn uống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25.000</w:t>
            </w:r>
          </w:p>
        </w:tc>
      </w:tr>
      <w:tr w:rsidR="00C4744B" w:rsidRPr="00C4744B" w:rsidTr="00C4744B">
        <w:trPr>
          <w:tblCellSpacing w:w="0" w:type="dxa"/>
        </w:trPr>
        <w:tc>
          <w:tcPr>
            <w:tcW w:w="754" w:type="dxa"/>
            <w:vMerge w:val="restart"/>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Hộ gia đình SXKD - DV (bao gồm cả nhà trẻ quy mô hộ gia đình) ở các phường, thị trấn.</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Hộ có mức doanh thu khoán từ 192 triệu đồng/năm trở lên (hoặc từ 16 triệu đồng/tháng trở lên)</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50.000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Trong đó: hộ kinh doanh ăn uống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80.000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Hộ có mức doanh thu khoán từ 60 triệu đến dưới 192 triệu đồng/năm (hoặc từ 5 triệu đến dưới 16 triệu đồng/tháng)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Trong đó: hộ kinh doanh ăn uống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60.000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Hộ có mức doanh thu khoán dưới 60 triệu đồng/năm (hoặc dưới 5 triệu đồng/tháng)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25.000</w:t>
            </w:r>
          </w:p>
        </w:tc>
      </w:tr>
      <w:tr w:rsidR="00C4744B" w:rsidRPr="00C4744B" w:rsidTr="00C4744B">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spacing w:line="360" w:lineRule="auto"/>
              <w:rPr>
                <w:rFonts w:ascii="Times New Roman" w:hAnsi="Times New Roman"/>
                <w:color w:val="000000"/>
                <w:sz w:val="24"/>
                <w:szCs w:val="24"/>
              </w:rPr>
            </w:pP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Trong đó: hộ kinh doanh ăn uống</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đồng/hộ/tháng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754"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5</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Tổ chức hoặc cá nhân được cấp thẩm quyền cho phép sử dụng lề đường, vỉa hè làm điểm kinh doanh (trừ các điểm bán vé số kiến thiết, bán thuốc lá lẻ)</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đồng/m</w:t>
            </w:r>
            <w:r w:rsidRPr="00C4744B">
              <w:rPr>
                <w:color w:val="000000"/>
                <w:vertAlign w:val="superscript"/>
              </w:rPr>
              <w:t>2</w:t>
            </w:r>
            <w:r w:rsidRPr="00C4744B">
              <w:rPr>
                <w:color w:val="000000"/>
              </w:rPr>
              <w:t>/tháng</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w:t>
            </w:r>
          </w:p>
        </w:tc>
      </w:tr>
      <w:tr w:rsidR="00C4744B" w:rsidRPr="00C4744B" w:rsidTr="00C4744B">
        <w:trPr>
          <w:tblCellSpacing w:w="0" w:type="dxa"/>
        </w:trPr>
        <w:tc>
          <w:tcPr>
            <w:tcW w:w="754"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II</w:t>
            </w:r>
          </w:p>
        </w:tc>
        <w:tc>
          <w:tcPr>
            <w:tcW w:w="4646" w:type="dxa"/>
            <w:tcBorders>
              <w:top w:val="single" w:sz="8" w:space="0" w:color="auto"/>
              <w:left w:val="single" w:sz="8" w:space="0" w:color="auto"/>
              <w:bottom w:val="nil"/>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b/>
                <w:bCs/>
                <w:color w:val="000000"/>
              </w:rPr>
              <w:t>Trụ sở làm việc của doanh nghiệp,</w:t>
            </w:r>
            <w:r w:rsidRPr="00C4744B">
              <w:rPr>
                <w:rStyle w:val="apple-converted-space"/>
                <w:b/>
                <w:bCs/>
                <w:color w:val="000000"/>
              </w:rPr>
              <w:t> </w:t>
            </w:r>
            <w:r w:rsidRPr="00C4744B">
              <w:rPr>
                <w:b/>
                <w:bCs/>
                <w:color w:val="000000"/>
              </w:rPr>
              <w:t>cơ</w:t>
            </w:r>
            <w:r w:rsidRPr="00C4744B">
              <w:rPr>
                <w:rStyle w:val="apple-converted-space"/>
                <w:b/>
                <w:bCs/>
                <w:color w:val="000000"/>
              </w:rPr>
              <w:t> </w:t>
            </w:r>
            <w:r w:rsidRPr="00C4744B">
              <w:rPr>
                <w:b/>
                <w:bCs/>
                <w:color w:val="000000"/>
              </w:rPr>
              <w:t>quan đại diện, đơn vị hành chính, sự nghiệp</w:t>
            </w:r>
          </w:p>
        </w:tc>
        <w:tc>
          <w:tcPr>
            <w:tcW w:w="1997" w:type="dxa"/>
            <w:tcBorders>
              <w:top w:val="single" w:sz="8" w:space="0" w:color="auto"/>
              <w:left w:val="single" w:sz="8" w:space="0" w:color="auto"/>
              <w:bottom w:val="nil"/>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single" w:sz="8" w:space="0" w:color="auto"/>
              <w:left w:val="single" w:sz="8" w:space="0" w:color="auto"/>
              <w:bottom w:val="nil"/>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single" w:sz="8" w:space="0" w:color="auto"/>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w:t>
            </w:r>
          </w:p>
        </w:tc>
        <w:tc>
          <w:tcPr>
            <w:tcW w:w="4646" w:type="dxa"/>
            <w:tcBorders>
              <w:top w:val="single" w:sz="8" w:space="0" w:color="auto"/>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Có số lao động, CBNV dưới 20 người</w:t>
            </w:r>
          </w:p>
        </w:tc>
        <w:tc>
          <w:tcPr>
            <w:tcW w:w="1997" w:type="dxa"/>
            <w:tcBorders>
              <w:top w:val="single" w:sz="8" w:space="0" w:color="auto"/>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đồng/đơn vị/tháng</w:t>
            </w:r>
          </w:p>
        </w:tc>
        <w:tc>
          <w:tcPr>
            <w:tcW w:w="137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Có số lao động, CBNV từ 20 người đến 50 người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đồng/đơn vị/tháng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50.000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3</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Có số lao động, CBNV trên 50 người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đồng/đơn vị/tháng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80.000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III</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b/>
                <w:bCs/>
                <w:color w:val="000000"/>
              </w:rPr>
              <w:t>Trường học (trừ nhà trẻ, mẫu giáo quy mô hộ gia đình)</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đồng/phòng/tháng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IV</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b/>
                <w:bCs/>
                <w:color w:val="000000"/>
              </w:rPr>
              <w:t>Cơ sở</w:t>
            </w:r>
            <w:r w:rsidRPr="00C4744B">
              <w:rPr>
                <w:rStyle w:val="apple-converted-space"/>
                <w:b/>
                <w:bCs/>
                <w:color w:val="000000"/>
              </w:rPr>
              <w:t> </w:t>
            </w:r>
            <w:r w:rsidRPr="00C4744B">
              <w:rPr>
                <w:b/>
                <w:bCs/>
                <w:color w:val="000000"/>
              </w:rPr>
              <w:t>sản xuất, kinh doanh, dịch vụ</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Cơ sở sản xuất</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w:t>
            </w:r>
            <w:r w:rsidRPr="00C4744B">
              <w:rPr>
                <w:rStyle w:val="apple-converted-space"/>
                <w:color w:val="000000"/>
              </w:rPr>
              <w:t> </w:t>
            </w:r>
            <w:r w:rsidRPr="00C4744B">
              <w:rPr>
                <w:color w:val="000000"/>
              </w:rPr>
              <w:t>lao động dưới 20 người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80.000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w:t>
            </w:r>
            <w:r w:rsidRPr="00C4744B">
              <w:rPr>
                <w:rStyle w:val="apple-converted-space"/>
                <w:color w:val="000000"/>
              </w:rPr>
              <w:t> </w:t>
            </w:r>
            <w:r w:rsidRPr="00C4744B">
              <w:rPr>
                <w:color w:val="000000"/>
              </w:rPr>
              <w:t>lao động từ 20 đến 50 người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160.000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w:t>
            </w:r>
            <w:r w:rsidRPr="00C4744B">
              <w:rPr>
                <w:rStyle w:val="apple-converted-space"/>
                <w:color w:val="000000"/>
              </w:rPr>
              <w:t> </w:t>
            </w:r>
            <w:r w:rsidRPr="00C4744B">
              <w:rPr>
                <w:color w:val="000000"/>
              </w:rPr>
              <w:t>lao động trên 50 người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260 000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Cơ sở kinh doanh thương mại - dịch vụ</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Cửa hàng kinh doanh thương mại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80.000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Nhà hàng, cửa hàng ăn uống, giải khát</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190.000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lastRenderedPageBreak/>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Khách sạn, nhà nghỉ</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Nhà nghỉ</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100.000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Khách sạn</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w:t>
            </w:r>
            <w:r w:rsidRPr="00C4744B">
              <w:rPr>
                <w:rStyle w:val="apple-converted-space"/>
                <w:color w:val="000000"/>
              </w:rPr>
              <w:t> </w:t>
            </w:r>
            <w:r w:rsidRPr="00C4744B">
              <w:rPr>
                <w:color w:val="000000"/>
              </w:rPr>
              <w:t>phòng từ 10 đến 20 phòng</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190.000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3</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 phòng từ 21 đến 30 phòng</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230.000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w:t>
            </w:r>
            <w:r w:rsidRPr="00C4744B">
              <w:rPr>
                <w:rStyle w:val="apple-converted-space"/>
                <w:color w:val="000000"/>
              </w:rPr>
              <w:t> </w:t>
            </w:r>
            <w:r w:rsidRPr="00C4744B">
              <w:rPr>
                <w:color w:val="000000"/>
              </w:rPr>
              <w:t>phòng từ 31 đến 40 phòng</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260.000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Có số phòng từ 41 đến 50 phòng</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đồng/cơ sở/tháng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300.000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Trường hợp kinh doanh khách sạn có số lượng từ 51 phòng trở lên thì từ số phòng 51 trở đi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đồng/phòng/tháng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5.000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Các công trình xây dựng</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đồng/m</w:t>
            </w:r>
            <w:r w:rsidRPr="00C4744B">
              <w:rPr>
                <w:color w:val="000000"/>
                <w:vertAlign w:val="superscript"/>
              </w:rPr>
              <w:t>3</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5</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Trường hợp hộ gia đình kinh doanh có quy mô lớn, cơ sở sản xuất, kinh doanh, dịch vụ có lượng rác thải lớn (từ</w:t>
            </w:r>
            <w:r w:rsidRPr="00C4744B">
              <w:rPr>
                <w:rStyle w:val="apple-converted-space"/>
                <w:color w:val="000000"/>
              </w:rPr>
              <w:t> </w:t>
            </w:r>
            <w:r w:rsidRPr="00C4744B">
              <w:rPr>
                <w:color w:val="000000"/>
              </w:rPr>
              <w:t>1m</w:t>
            </w:r>
            <w:r w:rsidRPr="00C4744B">
              <w:rPr>
                <w:color w:val="000000"/>
                <w:vertAlign w:val="superscript"/>
              </w:rPr>
              <w:t>3</w:t>
            </w:r>
            <w:r w:rsidRPr="00C4744B">
              <w:rPr>
                <w:rStyle w:val="apple-converted-space"/>
                <w:color w:val="000000"/>
              </w:rPr>
              <w:t> </w:t>
            </w:r>
            <w:r w:rsidRPr="00C4744B">
              <w:rPr>
                <w:color w:val="000000"/>
              </w:rPr>
              <w:t>trở lên/tháng), sử dụng hình thức thu theo hợp đồng</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đồng/m</w:t>
            </w:r>
            <w:r w:rsidRPr="00C4744B">
              <w:rPr>
                <w:color w:val="000000"/>
                <w:vertAlign w:val="superscript"/>
              </w:rPr>
              <w:t>3</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V</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b/>
                <w:bCs/>
                <w:color w:val="000000"/>
              </w:rPr>
              <w:t>Chợ, siêu thị, trung tâm thương mại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Siêu thị, trung tâm thương mại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đồng/m</w:t>
            </w:r>
            <w:r w:rsidRPr="00C4744B">
              <w:rPr>
                <w:color w:val="000000"/>
                <w:vertAlign w:val="superscript"/>
              </w:rPr>
              <w:t>3</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250.000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Chợ</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Người kinh doanh cố định</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hạng 1</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đồng/quầy/tháng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hạng 2</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đồng/quầy/tháng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lastRenderedPageBreak/>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hạng 3</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đồng/quầy/tháng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13.000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Người kinh doanh không cố định</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hạng 1</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đồng/vị trí/tháng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hạng 2</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đồng/vị trí/tháng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hạng 3</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đồng/vị trí/tháng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6.000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Chợ đầu mối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đồng/quầy/tháng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VI</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b/>
                <w:bCs/>
                <w:color w:val="000000"/>
              </w:rPr>
              <w:t>Xe ôtô ở khu vực bến xe, bãi đậu xe:</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 </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1</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Xe dưới 15 chỗ</w:t>
            </w:r>
            <w:r w:rsidRPr="00C4744B">
              <w:rPr>
                <w:rStyle w:val="apple-converted-space"/>
                <w:color w:val="000000"/>
              </w:rPr>
              <w:t> </w:t>
            </w:r>
            <w:r w:rsidRPr="00C4744B">
              <w:rPr>
                <w:color w:val="000000"/>
              </w:rPr>
              <w:t>ngồi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đồng/xe/tháng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40.000</w:t>
            </w:r>
          </w:p>
        </w:tc>
      </w:tr>
      <w:tr w:rsidR="00C4744B" w:rsidRPr="00C4744B" w:rsidTr="00C4744B">
        <w:trPr>
          <w:tblCellSpacing w:w="0" w:type="dxa"/>
        </w:trPr>
        <w:tc>
          <w:tcPr>
            <w:tcW w:w="754"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2</w:t>
            </w:r>
          </w:p>
        </w:tc>
        <w:tc>
          <w:tcPr>
            <w:tcW w:w="4646" w:type="dxa"/>
            <w:tcBorders>
              <w:top w:val="nil"/>
              <w:left w:val="single" w:sz="8" w:space="0" w:color="auto"/>
              <w:bottom w:val="single" w:sz="8" w:space="0" w:color="auto"/>
              <w:right w:val="nil"/>
            </w:tcBorders>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Xe trên 15 chỗ ngồi</w:t>
            </w:r>
          </w:p>
        </w:tc>
        <w:tc>
          <w:tcPr>
            <w:tcW w:w="1997" w:type="dxa"/>
            <w:tcBorders>
              <w:top w:val="nil"/>
              <w:left w:val="single" w:sz="8" w:space="0" w:color="auto"/>
              <w:bottom w:val="single" w:sz="8" w:space="0" w:color="auto"/>
              <w:right w:val="nil"/>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đồng/xe/tháng</w:t>
            </w:r>
          </w:p>
        </w:tc>
        <w:tc>
          <w:tcPr>
            <w:tcW w:w="1373" w:type="dxa"/>
            <w:tcBorders>
              <w:top w:val="nil"/>
              <w:left w:val="single" w:sz="8" w:space="0" w:color="auto"/>
              <w:bottom w:val="single" w:sz="8" w:space="0" w:color="auto"/>
              <w:right w:val="single" w:sz="8" w:space="0" w:color="auto"/>
            </w:tcBorders>
            <w:shd w:val="clear" w:color="auto" w:fill="FFFFFF"/>
            <w:vAlign w:val="center"/>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color w:val="000000"/>
              </w:rPr>
              <w:t>60.000</w:t>
            </w:r>
          </w:p>
        </w:tc>
      </w:tr>
    </w:tbl>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t>Mức phí quy định trên đã bao gồm thuế Giá trị gia tăng theo quy định.</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b/>
          <w:bCs/>
          <w:color w:val="000000"/>
        </w:rPr>
        <w:t>Điều 3. Quản lý và sử dụng Phí</w:t>
      </w:r>
    </w:p>
    <w:p w:rsidR="00C4744B" w:rsidRPr="00C4744B" w:rsidRDefault="00C4744B" w:rsidP="00C4744B">
      <w:pPr>
        <w:pStyle w:val="NormalWeb"/>
        <w:shd w:val="clear" w:color="auto" w:fill="FFFFFF"/>
        <w:spacing w:before="0" w:beforeAutospacing="0" w:after="0" w:afterAutospacing="0" w:line="360" w:lineRule="auto"/>
        <w:rPr>
          <w:color w:val="000000"/>
        </w:rPr>
      </w:pPr>
      <w:r w:rsidRPr="00C4744B">
        <w:rPr>
          <w:color w:val="000000"/>
        </w:rPr>
        <w:t>a) Đơn vị thu phí được trích lại 10% trên tổng số tiền phí vệ sinh thu được để chi cho công tác quản lý, thu phí; việc quản lý và sử dụng phí thực hiện theo quy định tại Thông tư số</w:t>
      </w:r>
      <w:r w:rsidRPr="00C4744B">
        <w:rPr>
          <w:rStyle w:val="apple-converted-space"/>
          <w:color w:val="000000"/>
        </w:rPr>
        <w:t> </w:t>
      </w:r>
      <w:r w:rsidRPr="00C4744B">
        <w:rPr>
          <w:color w:val="000000"/>
        </w:rPr>
        <w:t>63/2002/TT-BTC</w:t>
      </w:r>
      <w:r w:rsidRPr="00C4744B">
        <w:rPr>
          <w:rStyle w:val="apple-converted-space"/>
          <w:color w:val="000000"/>
        </w:rPr>
        <w:t> </w:t>
      </w:r>
      <w:r w:rsidRPr="00C4744B">
        <w:rPr>
          <w:color w:val="000000"/>
        </w:rPr>
        <w:t>ngày 24/7/2002 và Thông tư số</w:t>
      </w:r>
      <w:r w:rsidRPr="00C4744B">
        <w:rPr>
          <w:rStyle w:val="apple-converted-space"/>
          <w:color w:val="000000"/>
        </w:rPr>
        <w:t> </w:t>
      </w:r>
      <w:r w:rsidRPr="00C4744B">
        <w:rPr>
          <w:color w:val="000000"/>
        </w:rPr>
        <w:t>45/2006/TT-BTC</w:t>
      </w:r>
      <w:r w:rsidRPr="00C4744B">
        <w:rPr>
          <w:rStyle w:val="apple-converted-space"/>
          <w:color w:val="000000"/>
        </w:rPr>
        <w:t> </w:t>
      </w:r>
      <w:r w:rsidRPr="00C4744B">
        <w:rPr>
          <w:color w:val="000000"/>
        </w:rPr>
        <w:t>ngày 25/5/2006 của Bộ Tài chính sửa đổi, bổ sung Thông tư số</w:t>
      </w:r>
      <w:r w:rsidRPr="00C4744B">
        <w:rPr>
          <w:rStyle w:val="apple-converted-space"/>
          <w:color w:val="000000"/>
        </w:rPr>
        <w:t> </w:t>
      </w:r>
      <w:r w:rsidRPr="00C4744B">
        <w:rPr>
          <w:color w:val="000000"/>
        </w:rPr>
        <w:t>63/2002/TT-BTC</w:t>
      </w:r>
      <w:r w:rsidRPr="00C4744B">
        <w:rPr>
          <w:rStyle w:val="apple-converted-space"/>
          <w:color w:val="000000"/>
        </w:rPr>
        <w:t> </w:t>
      </w:r>
      <w:r w:rsidRPr="00C4744B">
        <w:rPr>
          <w:color w:val="000000"/>
        </w:rPr>
        <w:t>ngày 24/7/2002 hướng dẫn thực hiện các quy định pháp luật về phí, lệ phí;</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t>b) Số tiền phí vệ sinh thu được còn lại 90%, đơn vị thu phí nộp vào ngân sách Nhà nước.</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b/>
          <w:bCs/>
          <w:color w:val="000000"/>
        </w:rPr>
        <w:t>Điều 4.</w:t>
      </w:r>
      <w:r w:rsidRPr="00C4744B">
        <w:rPr>
          <w:rStyle w:val="apple-converted-space"/>
          <w:color w:val="000000"/>
        </w:rPr>
        <w:t> </w:t>
      </w:r>
      <w:r w:rsidRPr="00C4744B">
        <w:rPr>
          <w:color w:val="000000"/>
        </w:rPr>
        <w:t>Quyết định này có hiệu lực sau 10 (mười) ngày kể từ ngày ký ban hành, áp dụng để thu phí kể từ ngày 01 tháng 12 năm 2015 và thay thế Quyết định số 08/2012/QĐ-UBND ngày 13/02/2012 của Ủy ban nhân dân tỉnh về việc ban hành Danh mục thu phí vệ sinh trên địa bàn tỉnh Ninh Thuận.</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lastRenderedPageBreak/>
        <w:t>Chánh Văn phòng Ủy ban nhân dân tỉnh, Giám đốc các Sở, Thủ trưởng các Ban, ngành, Chủ tịch Ủy ban nhân dân các huyện, thành phố; Thủ trưởng các cơ quan, đơn vị và tổ chức, cá nhân có liên quan chịu trách nhiệm thi hành Quyết định này./.</w:t>
      </w:r>
    </w:p>
    <w:p w:rsidR="00C4744B" w:rsidRPr="00C4744B" w:rsidRDefault="00C4744B" w:rsidP="00C4744B">
      <w:pPr>
        <w:pStyle w:val="NormalWeb"/>
        <w:shd w:val="clear" w:color="auto" w:fill="FFFFFF"/>
        <w:spacing w:before="120" w:beforeAutospacing="0" w:after="0" w:afterAutospacing="0" w:line="360" w:lineRule="auto"/>
        <w:rPr>
          <w:color w:val="000000"/>
        </w:rPr>
      </w:pPr>
      <w:r w:rsidRPr="00C4744B">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0"/>
        <w:gridCol w:w="4320"/>
      </w:tblGrid>
      <w:tr w:rsidR="00C4744B" w:rsidRPr="00C4744B" w:rsidTr="00C4744B">
        <w:trPr>
          <w:tblCellSpacing w:w="0" w:type="dxa"/>
        </w:trPr>
        <w:tc>
          <w:tcPr>
            <w:tcW w:w="4320" w:type="dxa"/>
            <w:shd w:val="clear" w:color="auto" w:fill="FFFFFF"/>
            <w:hideMark/>
          </w:tcPr>
          <w:p w:rsidR="00C4744B" w:rsidRPr="00C4744B" w:rsidRDefault="00C4744B" w:rsidP="00C4744B">
            <w:pPr>
              <w:pStyle w:val="NormalWeb"/>
              <w:spacing w:before="120" w:beforeAutospacing="0" w:after="0" w:afterAutospacing="0" w:line="360" w:lineRule="auto"/>
              <w:rPr>
                <w:color w:val="000000"/>
              </w:rPr>
            </w:pPr>
            <w:r w:rsidRPr="00C4744B">
              <w:rPr>
                <w:color w:val="000000"/>
              </w:rPr>
              <w:t> </w:t>
            </w:r>
          </w:p>
          <w:p w:rsidR="00C4744B" w:rsidRPr="00C4744B" w:rsidRDefault="00C4744B" w:rsidP="00C4744B">
            <w:pPr>
              <w:pStyle w:val="NormalWeb"/>
              <w:spacing w:before="120" w:beforeAutospacing="0" w:after="0" w:afterAutospacing="0" w:line="360" w:lineRule="auto"/>
              <w:rPr>
                <w:color w:val="000000"/>
              </w:rPr>
            </w:pPr>
            <w:r w:rsidRPr="00C4744B">
              <w:rPr>
                <w:b/>
                <w:bCs/>
                <w:i/>
                <w:iCs/>
                <w:color w:val="000000"/>
              </w:rPr>
              <w:t>Nơi nhận:</w:t>
            </w:r>
            <w:r w:rsidRPr="00C4744B">
              <w:rPr>
                <w:color w:val="000000"/>
              </w:rPr>
              <w:br/>
              <w:t>- Như Điều 4;</w:t>
            </w:r>
            <w:r w:rsidRPr="00C4744B">
              <w:rPr>
                <w:color w:val="000000"/>
              </w:rPr>
              <w:br/>
              <w:t>- Văn phòng Chính phủ;</w:t>
            </w:r>
            <w:r w:rsidRPr="00C4744B">
              <w:rPr>
                <w:color w:val="000000"/>
              </w:rPr>
              <w:br/>
              <w:t>- Bộ Tài chính;</w:t>
            </w:r>
            <w:r w:rsidRPr="00C4744B">
              <w:rPr>
                <w:color w:val="000000"/>
              </w:rPr>
              <w:br/>
              <w:t>- Bộ Tư pháp (Cục Kiểm tra văn bản);</w:t>
            </w:r>
            <w:r w:rsidRPr="00C4744B">
              <w:rPr>
                <w:color w:val="000000"/>
              </w:rPr>
              <w:br/>
              <w:t>- TT. Tỉnh</w:t>
            </w:r>
            <w:r w:rsidRPr="00C4744B">
              <w:rPr>
                <w:rStyle w:val="apple-converted-space"/>
                <w:color w:val="000000"/>
              </w:rPr>
              <w:t> </w:t>
            </w:r>
            <w:r w:rsidRPr="00C4744B">
              <w:rPr>
                <w:color w:val="000000"/>
              </w:rPr>
              <w:t>ủy; TT HĐND tỉnh;</w:t>
            </w:r>
            <w:r w:rsidRPr="00C4744B">
              <w:rPr>
                <w:color w:val="000000"/>
              </w:rPr>
              <w:br/>
              <w:t>- Đoàn ĐBQH tỉnh Ninh Thuận;</w:t>
            </w:r>
            <w:r w:rsidRPr="00C4744B">
              <w:rPr>
                <w:color w:val="000000"/>
              </w:rPr>
              <w:br/>
              <w:t>- Chủ tịch, các PCT</w:t>
            </w:r>
            <w:r w:rsidRPr="00C4744B">
              <w:rPr>
                <w:rStyle w:val="apple-converted-space"/>
                <w:color w:val="000000"/>
              </w:rPr>
              <w:t> </w:t>
            </w:r>
            <w:r w:rsidRPr="00C4744B">
              <w:rPr>
                <w:color w:val="000000"/>
              </w:rPr>
              <w:t>UBND tỉnh;</w:t>
            </w:r>
            <w:r w:rsidRPr="00C4744B">
              <w:rPr>
                <w:color w:val="000000"/>
              </w:rPr>
              <w:br/>
              <w:t>- TT HĐND các huyện, thành phố;</w:t>
            </w:r>
            <w:r w:rsidRPr="00C4744B">
              <w:rPr>
                <w:color w:val="000000"/>
              </w:rPr>
              <w:br/>
              <w:t>- Trung tâm công báo tỉnh;</w:t>
            </w:r>
            <w:r w:rsidRPr="00C4744B">
              <w:rPr>
                <w:color w:val="000000"/>
              </w:rPr>
              <w:br/>
              <w:t>- Cổng thông tin điện tử tỉnh;</w:t>
            </w:r>
            <w:r w:rsidRPr="00C4744B">
              <w:rPr>
                <w:color w:val="000000"/>
              </w:rPr>
              <w:br/>
              <w:t>- VPUB: LĐ, chuyên viên;</w:t>
            </w:r>
            <w:r w:rsidRPr="00C4744B">
              <w:rPr>
                <w:color w:val="000000"/>
              </w:rPr>
              <w:br/>
              <w:t>- Lưu: VT,</w:t>
            </w:r>
            <w:r w:rsidRPr="00C4744B">
              <w:rPr>
                <w:rStyle w:val="apple-converted-space"/>
                <w:color w:val="000000"/>
              </w:rPr>
              <w:t> </w:t>
            </w:r>
            <w:r w:rsidRPr="00C4744B">
              <w:rPr>
                <w:color w:val="000000"/>
              </w:rPr>
              <w:t>TH,</w:t>
            </w:r>
            <w:r w:rsidRPr="00C4744B">
              <w:rPr>
                <w:rStyle w:val="apple-converted-space"/>
                <w:color w:val="000000"/>
              </w:rPr>
              <w:t> </w:t>
            </w:r>
            <w:r w:rsidRPr="00C4744B">
              <w:rPr>
                <w:color w:val="000000"/>
              </w:rPr>
              <w:t>VAL.</w:t>
            </w:r>
          </w:p>
        </w:tc>
        <w:tc>
          <w:tcPr>
            <w:tcW w:w="4320" w:type="dxa"/>
            <w:shd w:val="clear" w:color="auto" w:fill="FFFFFF"/>
            <w:hideMark/>
          </w:tcPr>
          <w:p w:rsidR="00C4744B" w:rsidRPr="00C4744B" w:rsidRDefault="00C4744B" w:rsidP="00C4744B">
            <w:pPr>
              <w:pStyle w:val="NormalWeb"/>
              <w:spacing w:before="120" w:beforeAutospacing="0" w:after="0" w:afterAutospacing="0" w:line="360" w:lineRule="auto"/>
              <w:jc w:val="center"/>
              <w:rPr>
                <w:color w:val="000000"/>
              </w:rPr>
            </w:pPr>
            <w:r w:rsidRPr="00C4744B">
              <w:rPr>
                <w:b/>
                <w:bCs/>
                <w:color w:val="000000"/>
              </w:rPr>
              <w:t>TM. ỦY BAN NHÂN DÂN</w:t>
            </w:r>
            <w:r w:rsidRPr="00C4744B">
              <w:rPr>
                <w:b/>
                <w:bCs/>
                <w:color w:val="000000"/>
              </w:rPr>
              <w:br/>
              <w:t>CHỦ TỊCH</w:t>
            </w:r>
            <w:r w:rsidRPr="00C4744B">
              <w:rPr>
                <w:b/>
                <w:bCs/>
                <w:color w:val="000000"/>
              </w:rPr>
              <w:br/>
            </w:r>
            <w:r w:rsidRPr="00C4744B">
              <w:rPr>
                <w:b/>
                <w:bCs/>
                <w:color w:val="000000"/>
              </w:rPr>
              <w:br/>
            </w:r>
            <w:r w:rsidRPr="00C4744B">
              <w:rPr>
                <w:b/>
                <w:bCs/>
                <w:color w:val="000000"/>
              </w:rPr>
              <w:br/>
            </w:r>
            <w:r w:rsidRPr="00C4744B">
              <w:rPr>
                <w:b/>
                <w:bCs/>
                <w:color w:val="000000"/>
              </w:rPr>
              <w:br/>
            </w:r>
            <w:r w:rsidRPr="00C4744B">
              <w:rPr>
                <w:b/>
                <w:bCs/>
                <w:color w:val="000000"/>
              </w:rPr>
              <w:br/>
              <w:t>Lưu Xuân Vĩnh</w:t>
            </w:r>
          </w:p>
        </w:tc>
      </w:tr>
    </w:tbl>
    <w:p w:rsidR="00450888" w:rsidRPr="00C4744B" w:rsidRDefault="00450888" w:rsidP="00C4744B">
      <w:pPr>
        <w:spacing w:line="360" w:lineRule="auto"/>
        <w:rPr>
          <w:rFonts w:ascii="Times New Roman" w:hAnsi="Times New Roman"/>
          <w:sz w:val="24"/>
          <w:szCs w:val="24"/>
        </w:rPr>
      </w:pPr>
    </w:p>
    <w:p w:rsidR="00C4744B" w:rsidRPr="00C4744B" w:rsidRDefault="00C4744B">
      <w:pPr>
        <w:spacing w:line="360" w:lineRule="auto"/>
        <w:rPr>
          <w:rFonts w:ascii="Times New Roman" w:hAnsi="Times New Roman"/>
          <w:sz w:val="24"/>
          <w:szCs w:val="24"/>
        </w:rPr>
      </w:pPr>
    </w:p>
    <w:sectPr w:rsidR="00C4744B" w:rsidRPr="00C4744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79" w:rsidRDefault="00C01979" w:rsidP="00C4744B">
      <w:pPr>
        <w:spacing w:after="0" w:line="240" w:lineRule="auto"/>
      </w:pPr>
      <w:r>
        <w:separator/>
      </w:r>
    </w:p>
  </w:endnote>
  <w:endnote w:type="continuationSeparator" w:id="0">
    <w:p w:rsidR="00C01979" w:rsidRDefault="00C01979" w:rsidP="00C4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4B" w:rsidRPr="00A67571" w:rsidRDefault="00C4744B" w:rsidP="00C4744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4744B" w:rsidRDefault="00C47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79" w:rsidRDefault="00C01979" w:rsidP="00C4744B">
      <w:pPr>
        <w:spacing w:after="0" w:line="240" w:lineRule="auto"/>
      </w:pPr>
      <w:r>
        <w:separator/>
      </w:r>
    </w:p>
  </w:footnote>
  <w:footnote w:type="continuationSeparator" w:id="0">
    <w:p w:rsidR="00C01979" w:rsidRDefault="00C01979" w:rsidP="00C47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4744B" w:rsidRPr="00A67571" w:rsidTr="0062275F">
      <w:trPr>
        <w:trHeight w:val="1208"/>
      </w:trPr>
      <w:tc>
        <w:tcPr>
          <w:tcW w:w="2411" w:type="dxa"/>
          <w:tcBorders>
            <w:top w:val="nil"/>
            <w:left w:val="nil"/>
            <w:bottom w:val="single" w:sz="4" w:space="0" w:color="auto"/>
            <w:right w:val="nil"/>
          </w:tcBorders>
          <w:vAlign w:val="center"/>
          <w:hideMark/>
        </w:tcPr>
        <w:p w:rsidR="00C4744B" w:rsidRPr="00A67571" w:rsidRDefault="00C4744B" w:rsidP="0062275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4744B" w:rsidRPr="00A67571" w:rsidRDefault="00C4744B" w:rsidP="0062275F">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4744B" w:rsidRPr="00A67571" w:rsidRDefault="00C4744B" w:rsidP="0062275F">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C4744B" w:rsidRPr="00A67571" w:rsidRDefault="00C4744B" w:rsidP="0062275F">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4744B" w:rsidRPr="00A67571" w:rsidRDefault="00C4744B" w:rsidP="0062275F">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C4744B" w:rsidRPr="00C4744B" w:rsidRDefault="00C4744B" w:rsidP="00C4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4B"/>
    <w:rsid w:val="00450888"/>
    <w:rsid w:val="00C01979"/>
    <w:rsid w:val="00C4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4B"/>
    <w:rPr>
      <w:rFonts w:ascii="Calibri" w:eastAsia="Calibri" w:hAnsi="Calibri" w:cs="Times New Roman"/>
      <w:sz w:val="22"/>
    </w:rPr>
  </w:style>
  <w:style w:type="paragraph" w:styleId="Heading6">
    <w:name w:val="heading 6"/>
    <w:basedOn w:val="Normal"/>
    <w:next w:val="Normal"/>
    <w:link w:val="Heading6Char"/>
    <w:semiHidden/>
    <w:unhideWhenUsed/>
    <w:qFormat/>
    <w:rsid w:val="00C4744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4744B"/>
    <w:rPr>
      <w:b/>
      <w:bCs/>
    </w:rPr>
  </w:style>
  <w:style w:type="paragraph" w:styleId="NormalWeb">
    <w:name w:val="Normal (Web)"/>
    <w:basedOn w:val="Normal"/>
    <w:uiPriority w:val="99"/>
    <w:unhideWhenUsed/>
    <w:rsid w:val="00C4744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C4744B"/>
    <w:rPr>
      <w:color w:val="0000FF"/>
      <w:u w:val="single"/>
    </w:rPr>
  </w:style>
  <w:style w:type="character" w:customStyle="1" w:styleId="apple-converted-space">
    <w:name w:val="apple-converted-space"/>
    <w:basedOn w:val="DefaultParagraphFont"/>
    <w:rsid w:val="00C4744B"/>
  </w:style>
  <w:style w:type="paragraph" w:styleId="Header">
    <w:name w:val="header"/>
    <w:basedOn w:val="Normal"/>
    <w:link w:val="HeaderChar"/>
    <w:uiPriority w:val="99"/>
    <w:unhideWhenUsed/>
    <w:rsid w:val="00C4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4B"/>
    <w:rPr>
      <w:rFonts w:ascii="Calibri" w:eastAsia="Calibri" w:hAnsi="Calibri" w:cs="Times New Roman"/>
      <w:sz w:val="22"/>
    </w:rPr>
  </w:style>
  <w:style w:type="paragraph" w:styleId="Footer">
    <w:name w:val="footer"/>
    <w:basedOn w:val="Normal"/>
    <w:link w:val="FooterChar"/>
    <w:uiPriority w:val="99"/>
    <w:unhideWhenUsed/>
    <w:rsid w:val="00C4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4B"/>
    <w:rPr>
      <w:rFonts w:ascii="Calibri" w:eastAsia="Calibri" w:hAnsi="Calibri" w:cs="Times New Roman"/>
      <w:sz w:val="22"/>
    </w:rPr>
  </w:style>
  <w:style w:type="character" w:customStyle="1" w:styleId="Heading6Char">
    <w:name w:val="Heading 6 Char"/>
    <w:basedOn w:val="DefaultParagraphFont"/>
    <w:link w:val="Heading6"/>
    <w:semiHidden/>
    <w:rsid w:val="00C4744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4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4B"/>
    <w:rPr>
      <w:rFonts w:ascii="Calibri" w:eastAsia="Calibri" w:hAnsi="Calibri" w:cs="Times New Roman"/>
      <w:sz w:val="22"/>
    </w:rPr>
  </w:style>
  <w:style w:type="paragraph" w:styleId="Heading6">
    <w:name w:val="heading 6"/>
    <w:basedOn w:val="Normal"/>
    <w:next w:val="Normal"/>
    <w:link w:val="Heading6Char"/>
    <w:semiHidden/>
    <w:unhideWhenUsed/>
    <w:qFormat/>
    <w:rsid w:val="00C4744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4744B"/>
    <w:rPr>
      <w:b/>
      <w:bCs/>
    </w:rPr>
  </w:style>
  <w:style w:type="paragraph" w:styleId="NormalWeb">
    <w:name w:val="Normal (Web)"/>
    <w:basedOn w:val="Normal"/>
    <w:uiPriority w:val="99"/>
    <w:unhideWhenUsed/>
    <w:rsid w:val="00C4744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C4744B"/>
    <w:rPr>
      <w:color w:val="0000FF"/>
      <w:u w:val="single"/>
    </w:rPr>
  </w:style>
  <w:style w:type="character" w:customStyle="1" w:styleId="apple-converted-space">
    <w:name w:val="apple-converted-space"/>
    <w:basedOn w:val="DefaultParagraphFont"/>
    <w:rsid w:val="00C4744B"/>
  </w:style>
  <w:style w:type="paragraph" w:styleId="Header">
    <w:name w:val="header"/>
    <w:basedOn w:val="Normal"/>
    <w:link w:val="HeaderChar"/>
    <w:uiPriority w:val="99"/>
    <w:unhideWhenUsed/>
    <w:rsid w:val="00C4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44B"/>
    <w:rPr>
      <w:rFonts w:ascii="Calibri" w:eastAsia="Calibri" w:hAnsi="Calibri" w:cs="Times New Roman"/>
      <w:sz w:val="22"/>
    </w:rPr>
  </w:style>
  <w:style w:type="paragraph" w:styleId="Footer">
    <w:name w:val="footer"/>
    <w:basedOn w:val="Normal"/>
    <w:link w:val="FooterChar"/>
    <w:uiPriority w:val="99"/>
    <w:unhideWhenUsed/>
    <w:rsid w:val="00C4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44B"/>
    <w:rPr>
      <w:rFonts w:ascii="Calibri" w:eastAsia="Calibri" w:hAnsi="Calibri" w:cs="Times New Roman"/>
      <w:sz w:val="22"/>
    </w:rPr>
  </w:style>
  <w:style w:type="character" w:customStyle="1" w:styleId="Heading6Char">
    <w:name w:val="Heading 6 Char"/>
    <w:basedOn w:val="DefaultParagraphFont"/>
    <w:link w:val="Heading6"/>
    <w:semiHidden/>
    <w:rsid w:val="00C4744B"/>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C4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2015-11-23T13:15:00Z</dcterms:created>
  <dcterms:modified xsi:type="dcterms:W3CDTF">2015-11-23T13:22:00Z</dcterms:modified>
</cp:coreProperties>
</file>