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70"/>
        <w:gridCol w:w="5139"/>
      </w:tblGrid>
      <w:tr w:rsidR="00485E95" w:rsidRPr="001A371B" w:rsidTr="00F111E2">
        <w:tc>
          <w:tcPr>
            <w:tcW w:w="3348" w:type="dxa"/>
          </w:tcPr>
          <w:p w:rsidR="00485E95" w:rsidRPr="001A371B" w:rsidRDefault="00485E95" w:rsidP="001A371B">
            <w:pPr>
              <w:spacing w:before="120" w:line="360" w:lineRule="auto"/>
              <w:jc w:val="center"/>
              <w:rPr>
                <w:rFonts w:ascii="Times New Roman" w:hAnsi="Times New Roman" w:cs="Times New Roman"/>
                <w:b/>
              </w:rPr>
            </w:pPr>
            <w:r w:rsidRPr="001A371B">
              <w:rPr>
                <w:rFonts w:ascii="Times New Roman" w:hAnsi="Times New Roman" w:cs="Times New Roman"/>
                <w:b/>
                <w:lang w:val="en-US"/>
              </w:rPr>
              <w:t>ỦY BAN NHÂN DÂN</w:t>
            </w:r>
            <w:r w:rsidRPr="001A371B">
              <w:rPr>
                <w:rFonts w:ascii="Times New Roman" w:hAnsi="Times New Roman" w:cs="Times New Roman"/>
                <w:b/>
                <w:lang w:val="en-US"/>
              </w:rPr>
              <w:br/>
              <w:t>THÀNH PHỐ HỒ CHÍ MINH</w:t>
            </w:r>
            <w:r w:rsidRPr="001A371B">
              <w:rPr>
                <w:rFonts w:ascii="Times New Roman" w:hAnsi="Times New Roman" w:cs="Times New Roman"/>
                <w:b/>
              </w:rPr>
              <w:br/>
              <w:t>-------</w:t>
            </w:r>
          </w:p>
        </w:tc>
        <w:tc>
          <w:tcPr>
            <w:tcW w:w="5508" w:type="dxa"/>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b/>
              </w:rPr>
              <w:t>CỘNG HÒA XÃ HỘI CHỦ NGHĨA VIỆT NAM</w:t>
            </w:r>
            <w:r w:rsidRPr="001A371B">
              <w:rPr>
                <w:rFonts w:ascii="Times New Roman" w:hAnsi="Times New Roman" w:cs="Times New Roman"/>
                <w:b/>
              </w:rPr>
              <w:br/>
              <w:t>Độc lập - Tự do - Hạnh phúc</w:t>
            </w:r>
            <w:r w:rsidRPr="001A371B">
              <w:rPr>
                <w:rFonts w:ascii="Times New Roman" w:hAnsi="Times New Roman" w:cs="Times New Roman"/>
                <w:b/>
              </w:rPr>
              <w:br/>
              <w:t>---------------</w:t>
            </w:r>
          </w:p>
        </w:tc>
      </w:tr>
      <w:tr w:rsidR="00485E95" w:rsidRPr="001A371B" w:rsidTr="00F111E2">
        <w:tc>
          <w:tcPr>
            <w:tcW w:w="3348" w:type="dxa"/>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Số: 3666/QĐ-UBND</w:t>
            </w:r>
          </w:p>
        </w:tc>
        <w:tc>
          <w:tcPr>
            <w:tcW w:w="5508" w:type="dxa"/>
          </w:tcPr>
          <w:p w:rsidR="00485E95" w:rsidRPr="001A371B" w:rsidRDefault="00485E95" w:rsidP="006F604E">
            <w:pPr>
              <w:spacing w:before="120" w:line="360" w:lineRule="auto"/>
              <w:jc w:val="both"/>
              <w:rPr>
                <w:rFonts w:ascii="Times New Roman" w:hAnsi="Times New Roman" w:cs="Times New Roman"/>
                <w:i/>
              </w:rPr>
            </w:pPr>
            <w:r w:rsidRPr="001A371B">
              <w:rPr>
                <w:rFonts w:ascii="Times New Roman" w:hAnsi="Times New Roman" w:cs="Times New Roman"/>
                <w:i/>
              </w:rPr>
              <w:t>Thành phố Hồ Chí Minh, ngày 28 tháng 07 năm 2014</w:t>
            </w:r>
          </w:p>
        </w:tc>
      </w:tr>
    </w:tbl>
    <w:p w:rsidR="00485E95" w:rsidRPr="001A371B" w:rsidRDefault="00485E95" w:rsidP="001A371B">
      <w:pPr>
        <w:spacing w:before="120" w:line="360" w:lineRule="auto"/>
        <w:rPr>
          <w:rFonts w:ascii="Times New Roman" w:hAnsi="Times New Roman" w:cs="Times New Roman"/>
        </w:rPr>
      </w:pPr>
    </w:p>
    <w:p w:rsidR="00485E95" w:rsidRPr="001A371B" w:rsidRDefault="00485E95" w:rsidP="001A371B">
      <w:pPr>
        <w:spacing w:before="120" w:line="360" w:lineRule="auto"/>
        <w:jc w:val="center"/>
        <w:rPr>
          <w:rFonts w:ascii="Times New Roman" w:hAnsi="Times New Roman" w:cs="Times New Roman"/>
          <w:b/>
        </w:rPr>
      </w:pPr>
      <w:bookmarkStart w:id="0" w:name="_GoBack"/>
      <w:r w:rsidRPr="001A371B">
        <w:rPr>
          <w:rFonts w:ascii="Times New Roman" w:hAnsi="Times New Roman" w:cs="Times New Roman"/>
          <w:b/>
        </w:rPr>
        <w:t>QUYẾT ĐỊNH</w:t>
      </w:r>
    </w:p>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VỀ VIỆC CÔNG BỐ THỦ TỤC HÀNH CHÍNH MỚI BAN HÀNH, THỦ TỤC HÀNH CHÍNH ĐƯỢC BÃI BỎ TRONG LĨNH VỰC QUẢNG CÁO; MỸ THUẬT, NHIẾP ẢNH VÀ TRIỂN LÃM; VĂN HÓA CƠ SỞ THUỘC THẨM QUYỀN GIẢI QUYẾT CỦA SỞ VĂN HÓA, THỂ THAO VÀ DU LỊCH THÀNH PHỐ HỒ CHÍ MINH</w:t>
      </w:r>
    </w:p>
    <w:p w:rsidR="00485E95" w:rsidRPr="001A371B" w:rsidRDefault="00485E95" w:rsidP="001A371B">
      <w:pPr>
        <w:spacing w:before="120" w:line="360" w:lineRule="auto"/>
        <w:jc w:val="center"/>
        <w:rPr>
          <w:rFonts w:ascii="Times New Roman" w:hAnsi="Times New Roman" w:cs="Times New Roman"/>
          <w:b/>
        </w:rPr>
      </w:pPr>
      <w:r w:rsidRPr="001A371B">
        <w:rPr>
          <w:rFonts w:ascii="Times New Roman" w:hAnsi="Times New Roman" w:cs="Times New Roman"/>
          <w:b/>
        </w:rPr>
        <w:t>CHỦ TỊCH ỦY BAN NHÂN DÂN THÀNH PHỐ HỒ CHÍ MINH</w:t>
      </w:r>
    </w:p>
    <w:p w:rsidR="00485E95" w:rsidRPr="001A371B" w:rsidRDefault="00485E95" w:rsidP="001A371B">
      <w:pPr>
        <w:spacing w:before="120" w:line="360" w:lineRule="auto"/>
        <w:rPr>
          <w:rFonts w:ascii="Times New Roman" w:hAnsi="Times New Roman" w:cs="Times New Roman"/>
          <w:i/>
        </w:rPr>
      </w:pPr>
      <w:r w:rsidRPr="001A371B">
        <w:rPr>
          <w:rFonts w:ascii="Times New Roman" w:hAnsi="Times New Roman" w:cs="Times New Roman"/>
          <w:i/>
        </w:rPr>
        <w:t>Căn cứ Luật Tổ chức Hội đồng nhân dân và Ủy ban nhân dân ngày 26 tháng 11 năm 2003;</w:t>
      </w:r>
    </w:p>
    <w:p w:rsidR="00485E95" w:rsidRPr="001A371B" w:rsidRDefault="00485E95" w:rsidP="001A371B">
      <w:pPr>
        <w:spacing w:before="120" w:line="360" w:lineRule="auto"/>
        <w:rPr>
          <w:rFonts w:ascii="Times New Roman" w:hAnsi="Times New Roman" w:cs="Times New Roman"/>
          <w:i/>
        </w:rPr>
      </w:pPr>
      <w:r w:rsidRPr="001A371B">
        <w:rPr>
          <w:rFonts w:ascii="Times New Roman" w:hAnsi="Times New Roman" w:cs="Times New Roman"/>
          <w:i/>
        </w:rPr>
        <w:t>Căn cứ Nghị định số 63/2010/NĐ-CP ngày 08 tháng 6 năm 2010 của Chính phủ về kiểm soát thủ tục hành chính; Nghị định số 48/2013/NĐ-CP ngày 14 tháng 5 năm 2013 của Chính phủ sửa đổi, bổ sung một số điều của các nghị định liên quan đến kiểm soát thủ tục hành chính;</w:t>
      </w:r>
    </w:p>
    <w:p w:rsidR="00485E95" w:rsidRPr="001A371B" w:rsidRDefault="00485E95" w:rsidP="001A371B">
      <w:pPr>
        <w:spacing w:before="120" w:line="360" w:lineRule="auto"/>
        <w:rPr>
          <w:rFonts w:ascii="Times New Roman" w:hAnsi="Times New Roman" w:cs="Times New Roman"/>
          <w:i/>
        </w:rPr>
      </w:pPr>
      <w:r w:rsidRPr="001A371B">
        <w:rPr>
          <w:rFonts w:ascii="Times New Roman" w:hAnsi="Times New Roman" w:cs="Times New Roman"/>
          <w:i/>
        </w:rPr>
        <w:t>Căn cứ Thông tư số 05/2014/TT-BTP ngày 07 tháng 02 năm 2014 của Bộ trưởng Bộ Tư pháp hướng dẫn công bố, niêm yết thủ tục hành chính và báo cáo về tình hình, kết quả thực hiện kiểm soát thủ tục hành chính;</w:t>
      </w:r>
    </w:p>
    <w:p w:rsidR="00485E95" w:rsidRPr="001A371B" w:rsidRDefault="00485E95" w:rsidP="001A371B">
      <w:pPr>
        <w:spacing w:before="120" w:line="360" w:lineRule="auto"/>
        <w:rPr>
          <w:rFonts w:ascii="Times New Roman" w:hAnsi="Times New Roman" w:cs="Times New Roman"/>
          <w:i/>
        </w:rPr>
      </w:pPr>
      <w:r w:rsidRPr="001A371B">
        <w:rPr>
          <w:rFonts w:ascii="Times New Roman" w:hAnsi="Times New Roman" w:cs="Times New Roman"/>
          <w:i/>
        </w:rPr>
        <w:t>Xét đề nghị của Giám đốc Sở Văn hóa, Thể thao và Du lịch tại Tờ trình số 3668/TTr-SVHTTDL ngày 16 tháng 7 năm 2014 và Giám đốc Sở Tư pháp tại Công văn số 3562/STP-KSTT ngày 03 tháng 7 năm 2014,</w:t>
      </w:r>
    </w:p>
    <w:p w:rsidR="00485E95" w:rsidRPr="001A371B" w:rsidRDefault="00485E95" w:rsidP="001A371B">
      <w:pPr>
        <w:spacing w:before="120" w:line="360" w:lineRule="auto"/>
        <w:jc w:val="center"/>
        <w:rPr>
          <w:rFonts w:ascii="Times New Roman" w:hAnsi="Times New Roman" w:cs="Times New Roman"/>
          <w:b/>
        </w:rPr>
      </w:pPr>
      <w:r w:rsidRPr="001A371B">
        <w:rPr>
          <w:rFonts w:ascii="Times New Roman" w:hAnsi="Times New Roman" w:cs="Times New Roman"/>
          <w:b/>
        </w:rPr>
        <w:t>QUYẾT ĐỊNH:</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b/>
        </w:rPr>
        <w:t>Điều 1.</w:t>
      </w:r>
      <w:r w:rsidRPr="001A371B">
        <w:rPr>
          <w:rFonts w:ascii="Times New Roman" w:hAnsi="Times New Roman" w:cs="Times New Roman"/>
        </w:rPr>
        <w:t xml:space="preserve"> Công bố kèm theo Quyết định này thủ tục hành chính mới ban hành và bãi bỏ trong lĩnh vực Quảng cáo; Mỹ thuật, Nhiếp ảnh và Triển lãm; Văn hóa cơ sở thuộc </w:t>
      </w:r>
      <w:r w:rsidRPr="001A371B">
        <w:rPr>
          <w:rFonts w:ascii="Times New Roman" w:hAnsi="Times New Roman" w:cs="Times New Roman"/>
        </w:rPr>
        <w:lastRenderedPageBreak/>
        <w:t>thẩm quyền giải quyết của Sở Văn hóa, Thể thao và Du lịch Thành phố Hồ Chí Minh, cụ thể:</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1. Thủ tục hành chính mới ban hành, gồm 11 thủ tục (đính kèm phụ lục);</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2. Thủ tục hành chính được bãi bỏ, gồm 44 thủ tục (đính kèm phụ lục).</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b/>
        </w:rPr>
        <w:t>Điều 2.</w:t>
      </w:r>
      <w:r w:rsidRPr="001A371B">
        <w:rPr>
          <w:rFonts w:ascii="Times New Roman" w:hAnsi="Times New Roman" w:cs="Times New Roman"/>
        </w:rPr>
        <w:t xml:space="preserve"> Quyết định này có hiệu lực thi hành kể từ ngày ký.</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b/>
        </w:rPr>
        <w:t>Điều 3.</w:t>
      </w:r>
      <w:r w:rsidRPr="001A371B">
        <w:rPr>
          <w:rFonts w:ascii="Times New Roman" w:hAnsi="Times New Roman" w:cs="Times New Roman"/>
        </w:rPr>
        <w:t xml:space="preserve"> Chánh Văn phòng Ủy ban nhân dân Thành phố, Giám đốc Sở Văn hóa, Thể thao và Du lịch, Giám đốc Sở Tư pháp và các tổ chức, cá nhân có liên quan chịu trách nhiệm thi hành Quyết định này./.</w:t>
      </w:r>
    </w:p>
    <w:p w:rsidR="00485E95" w:rsidRPr="001A371B" w:rsidRDefault="00485E95" w:rsidP="001A371B">
      <w:pPr>
        <w:spacing w:before="120" w:line="360" w:lineRule="auto"/>
        <w:rPr>
          <w:rFonts w:ascii="Times New Roman" w:hAnsi="Times New Roman" w:cs="Times New Roman"/>
        </w:rPr>
      </w:pPr>
      <w:bookmarkStart w:id="1" w:name="bookmark3"/>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72"/>
        <w:gridCol w:w="4137"/>
      </w:tblGrid>
      <w:tr w:rsidR="00485E95" w:rsidRPr="001A371B" w:rsidTr="00F111E2">
        <w:tc>
          <w:tcPr>
            <w:tcW w:w="4428" w:type="dxa"/>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br/>
            </w:r>
            <w:r w:rsidRPr="001A371B">
              <w:rPr>
                <w:rFonts w:ascii="Times New Roman" w:hAnsi="Times New Roman" w:cs="Times New Roman"/>
                <w:b/>
                <w:i/>
              </w:rPr>
              <w:t>Nơi nhận:</w:t>
            </w:r>
            <w:r w:rsidRPr="001A371B">
              <w:rPr>
                <w:rFonts w:ascii="Times New Roman" w:hAnsi="Times New Roman" w:cs="Times New Roman"/>
                <w:b/>
                <w:i/>
              </w:rPr>
              <w:br/>
            </w:r>
            <w:r w:rsidRPr="001A371B">
              <w:rPr>
                <w:rFonts w:ascii="Times New Roman" w:hAnsi="Times New Roman" w:cs="Times New Roman"/>
              </w:rPr>
              <w:t>- Như điều 3;</w:t>
            </w:r>
            <w:r w:rsidRPr="001A371B">
              <w:rPr>
                <w:rFonts w:ascii="Times New Roman" w:hAnsi="Times New Roman" w:cs="Times New Roman"/>
              </w:rPr>
              <w:br/>
              <w:t>- Cục Kiểm soát TTHC (Bộ Tư pháp);</w:t>
            </w:r>
            <w:r w:rsidRPr="001A371B">
              <w:rPr>
                <w:rFonts w:ascii="Times New Roman" w:hAnsi="Times New Roman" w:cs="Times New Roman"/>
              </w:rPr>
              <w:br/>
              <w:t>- Thường trực Thành ủy;</w:t>
            </w:r>
            <w:r w:rsidRPr="001A371B">
              <w:rPr>
                <w:rFonts w:ascii="Times New Roman" w:hAnsi="Times New Roman" w:cs="Times New Roman"/>
              </w:rPr>
              <w:br/>
              <w:t>- Thường trực Hội đồng nhân dân TP;</w:t>
            </w:r>
            <w:r w:rsidRPr="001A371B">
              <w:rPr>
                <w:rFonts w:ascii="Times New Roman" w:hAnsi="Times New Roman" w:cs="Times New Roman"/>
              </w:rPr>
              <w:br/>
              <w:t>- UBMTTQ TP và các thành viên (6);</w:t>
            </w:r>
            <w:r w:rsidRPr="001A371B">
              <w:rPr>
                <w:rFonts w:ascii="Times New Roman" w:hAnsi="Times New Roman" w:cs="Times New Roman"/>
              </w:rPr>
              <w:br/>
              <w:t>- TTUB: CT, các PCT;</w:t>
            </w:r>
            <w:r w:rsidRPr="001A371B">
              <w:rPr>
                <w:rFonts w:ascii="Times New Roman" w:hAnsi="Times New Roman" w:cs="Times New Roman"/>
              </w:rPr>
              <w:br/>
              <w:t>- VPUB: C, PVP/VX;</w:t>
            </w:r>
            <w:r w:rsidRPr="001A371B">
              <w:rPr>
                <w:rFonts w:ascii="Times New Roman" w:hAnsi="Times New Roman" w:cs="Times New Roman"/>
              </w:rPr>
              <w:br/>
              <w:t>- Sở Văn hóa, Thể thao và Du lịch;</w:t>
            </w:r>
            <w:r w:rsidRPr="001A371B">
              <w:rPr>
                <w:rFonts w:ascii="Times New Roman" w:hAnsi="Times New Roman" w:cs="Times New Roman"/>
              </w:rPr>
              <w:br/>
              <w:t>- Sở Tư pháp (Phòng Kiểm soát TTHC);</w:t>
            </w:r>
            <w:r w:rsidRPr="001A371B">
              <w:rPr>
                <w:rFonts w:ascii="Times New Roman" w:hAnsi="Times New Roman" w:cs="Times New Roman"/>
              </w:rPr>
              <w:br/>
              <w:t>- TT Công báo; TT Tin học TP;</w:t>
            </w:r>
            <w:r w:rsidRPr="001A371B">
              <w:rPr>
                <w:rFonts w:ascii="Times New Roman" w:hAnsi="Times New Roman" w:cs="Times New Roman"/>
              </w:rPr>
              <w:br/>
              <w:t>- Sở Thông tin - Truyền thông (Trang web TP - để công khai);</w:t>
            </w:r>
            <w:r w:rsidRPr="001A371B">
              <w:rPr>
                <w:rFonts w:ascii="Times New Roman" w:hAnsi="Times New Roman" w:cs="Times New Roman"/>
              </w:rPr>
              <w:br/>
              <w:t>- Lưu: VT, (CCHC/Đ).</w:t>
            </w:r>
          </w:p>
        </w:tc>
        <w:tc>
          <w:tcPr>
            <w:tcW w:w="4428" w:type="dxa"/>
          </w:tcPr>
          <w:p w:rsidR="00485E95" w:rsidRPr="001A371B" w:rsidRDefault="00485E95" w:rsidP="001A371B">
            <w:pPr>
              <w:spacing w:before="120" w:line="360" w:lineRule="auto"/>
              <w:jc w:val="center"/>
              <w:rPr>
                <w:rFonts w:ascii="Times New Roman" w:hAnsi="Times New Roman" w:cs="Times New Roman"/>
                <w:b/>
              </w:rPr>
            </w:pPr>
            <w:r w:rsidRPr="001A371B">
              <w:rPr>
                <w:rFonts w:ascii="Times New Roman" w:hAnsi="Times New Roman" w:cs="Times New Roman"/>
                <w:b/>
              </w:rPr>
              <w:t>CHỦ TỊCH</w:t>
            </w:r>
            <w:r w:rsidRPr="001A371B">
              <w:rPr>
                <w:rFonts w:ascii="Times New Roman" w:hAnsi="Times New Roman" w:cs="Times New Roman"/>
                <w:b/>
              </w:rPr>
              <w:br/>
            </w:r>
            <w:r w:rsidRPr="001A371B">
              <w:rPr>
                <w:rFonts w:ascii="Times New Roman" w:hAnsi="Times New Roman" w:cs="Times New Roman"/>
                <w:b/>
              </w:rPr>
              <w:br/>
            </w:r>
            <w:r w:rsidRPr="001A371B">
              <w:rPr>
                <w:rFonts w:ascii="Times New Roman" w:hAnsi="Times New Roman" w:cs="Times New Roman"/>
                <w:b/>
              </w:rPr>
              <w:br/>
            </w:r>
            <w:r w:rsidRPr="001A371B">
              <w:rPr>
                <w:rFonts w:ascii="Times New Roman" w:hAnsi="Times New Roman" w:cs="Times New Roman"/>
                <w:b/>
              </w:rPr>
              <w:br/>
            </w:r>
            <w:r w:rsidRPr="001A371B">
              <w:rPr>
                <w:rFonts w:ascii="Times New Roman" w:hAnsi="Times New Roman" w:cs="Times New Roman"/>
                <w:b/>
              </w:rPr>
              <w:br/>
              <w:t>Lê Hoàng Quân</w:t>
            </w:r>
          </w:p>
        </w:tc>
      </w:tr>
    </w:tbl>
    <w:p w:rsidR="00485E95" w:rsidRPr="001A371B" w:rsidRDefault="00485E95" w:rsidP="001A371B">
      <w:pPr>
        <w:spacing w:before="120" w:line="360" w:lineRule="auto"/>
        <w:rPr>
          <w:rFonts w:ascii="Times New Roman" w:hAnsi="Times New Roman" w:cs="Times New Roman"/>
        </w:rPr>
      </w:pPr>
    </w:p>
    <w:bookmarkEnd w:id="1"/>
    <w:p w:rsidR="00485E95" w:rsidRPr="001A371B" w:rsidRDefault="00485E95" w:rsidP="001A371B">
      <w:pPr>
        <w:spacing w:before="120" w:line="360" w:lineRule="auto"/>
        <w:jc w:val="center"/>
        <w:rPr>
          <w:rFonts w:ascii="Times New Roman" w:hAnsi="Times New Roman" w:cs="Times New Roman"/>
          <w:b/>
        </w:rPr>
      </w:pPr>
      <w:r w:rsidRPr="001A371B">
        <w:rPr>
          <w:rFonts w:ascii="Times New Roman" w:hAnsi="Times New Roman" w:cs="Times New Roman"/>
          <w:b/>
        </w:rPr>
        <w:t>THỦ TỤC HÀNH CHÍNH THUỘC THẨM QUYỀN GIẢI QUYẾT CỦA SỞ VĂN HÓA, THỂ THAO VÀ DU LỊCH THÀNH PHỐ HỒ CHÍ MINH</w:t>
      </w:r>
    </w:p>
    <w:p w:rsidR="00485E95" w:rsidRPr="001A371B" w:rsidRDefault="00485E95" w:rsidP="001A371B">
      <w:pPr>
        <w:spacing w:before="120" w:line="360" w:lineRule="auto"/>
        <w:jc w:val="center"/>
        <w:rPr>
          <w:rFonts w:ascii="Times New Roman" w:hAnsi="Times New Roman" w:cs="Times New Roman"/>
          <w:i/>
        </w:rPr>
      </w:pPr>
      <w:r w:rsidRPr="001A371B">
        <w:rPr>
          <w:rFonts w:ascii="Times New Roman" w:hAnsi="Times New Roman" w:cs="Times New Roman"/>
          <w:i/>
        </w:rPr>
        <w:t>(Ban hành kèm theo Quyết định số 3666/QĐ-UBND ngày 28 tháng 7 năm 2014 của Chủ tịch Ủy ban nhân dân Thành phố)</w:t>
      </w:r>
    </w:p>
    <w:p w:rsidR="00485E95" w:rsidRPr="001A371B" w:rsidRDefault="00485E95" w:rsidP="001A371B">
      <w:pPr>
        <w:spacing w:before="120" w:line="360" w:lineRule="auto"/>
        <w:rPr>
          <w:rFonts w:ascii="Times New Roman" w:hAnsi="Times New Roman" w:cs="Times New Roman"/>
          <w:b/>
        </w:rPr>
      </w:pPr>
      <w:r w:rsidRPr="001A371B">
        <w:rPr>
          <w:rFonts w:ascii="Times New Roman" w:hAnsi="Times New Roman" w:cs="Times New Roman"/>
          <w:b/>
        </w:rPr>
        <w:t>PHẦN I. DANH MỤC THỦ TỤC HÀNH CHÍNH:</w:t>
      </w:r>
    </w:p>
    <w:p w:rsidR="00485E95" w:rsidRPr="001A371B" w:rsidRDefault="00485E95" w:rsidP="001A371B">
      <w:pPr>
        <w:spacing w:before="120" w:line="360" w:lineRule="auto"/>
        <w:rPr>
          <w:rFonts w:ascii="Times New Roman" w:hAnsi="Times New Roman" w:cs="Times New Roman"/>
          <w:b/>
        </w:rPr>
      </w:pPr>
      <w:r w:rsidRPr="001A371B">
        <w:rPr>
          <w:rFonts w:ascii="Times New Roman" w:hAnsi="Times New Roman" w:cs="Times New Roman"/>
          <w:b/>
        </w:rPr>
        <w:lastRenderedPageBreak/>
        <w:t>1. Danh mục thủ tục hành chính mới ban hành:</w:t>
      </w:r>
    </w:p>
    <w:tbl>
      <w:tblPr>
        <w:tblW w:w="0" w:type="auto"/>
        <w:tblLayout w:type="fixed"/>
        <w:tblCellMar>
          <w:left w:w="29" w:type="dxa"/>
          <w:right w:w="29" w:type="dxa"/>
        </w:tblCellMar>
        <w:tblLook w:val="0000" w:firstRow="0" w:lastRow="0" w:firstColumn="0" w:lastColumn="0" w:noHBand="0" w:noVBand="0"/>
      </w:tblPr>
      <w:tblGrid>
        <w:gridCol w:w="599"/>
        <w:gridCol w:w="3078"/>
        <w:gridCol w:w="4731"/>
      </w:tblGrid>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nil"/>
              <w:right w:val="nil"/>
            </w:tcBorders>
            <w:shd w:val="clear" w:color="auto" w:fill="FFFFFF"/>
            <w:vAlign w:val="center"/>
          </w:tcPr>
          <w:p w:rsidR="00485E95" w:rsidRPr="001A371B" w:rsidRDefault="00485E95" w:rsidP="001A371B">
            <w:pPr>
              <w:spacing w:before="120" w:line="360" w:lineRule="auto"/>
              <w:jc w:val="center"/>
              <w:rPr>
                <w:rFonts w:ascii="Times New Roman" w:hAnsi="Times New Roman" w:cs="Times New Roman"/>
                <w:b/>
              </w:rPr>
            </w:pPr>
            <w:r w:rsidRPr="001A371B">
              <w:rPr>
                <w:rFonts w:ascii="Times New Roman" w:hAnsi="Times New Roman" w:cs="Times New Roman"/>
                <w:b/>
              </w:rPr>
              <w:t>STT</w:t>
            </w:r>
          </w:p>
        </w:tc>
        <w:tc>
          <w:tcPr>
            <w:tcW w:w="3078" w:type="dxa"/>
            <w:tcBorders>
              <w:top w:val="single" w:sz="4" w:space="0" w:color="auto"/>
              <w:left w:val="single" w:sz="4" w:space="0" w:color="auto"/>
              <w:bottom w:val="nil"/>
              <w:right w:val="nil"/>
            </w:tcBorders>
            <w:shd w:val="clear" w:color="auto" w:fill="FFFFFF"/>
            <w:vAlign w:val="center"/>
          </w:tcPr>
          <w:p w:rsidR="00485E95" w:rsidRPr="001A371B" w:rsidRDefault="00485E95" w:rsidP="001A371B">
            <w:pPr>
              <w:spacing w:before="120" w:line="360" w:lineRule="auto"/>
              <w:jc w:val="center"/>
              <w:rPr>
                <w:rFonts w:ascii="Times New Roman" w:hAnsi="Times New Roman" w:cs="Times New Roman"/>
                <w:b/>
              </w:rPr>
            </w:pPr>
            <w:r w:rsidRPr="001A371B">
              <w:rPr>
                <w:rFonts w:ascii="Times New Roman" w:hAnsi="Times New Roman" w:cs="Times New Roman"/>
                <w:b/>
              </w:rPr>
              <w:t>Tên thủ tục hành chính</w:t>
            </w:r>
          </w:p>
        </w:tc>
        <w:tc>
          <w:tcPr>
            <w:tcW w:w="4731" w:type="dxa"/>
            <w:tcBorders>
              <w:top w:val="single" w:sz="4" w:space="0" w:color="auto"/>
              <w:left w:val="single" w:sz="4" w:space="0" w:color="auto"/>
              <w:bottom w:val="nil"/>
              <w:right w:val="single" w:sz="4" w:space="0" w:color="auto"/>
            </w:tcBorders>
            <w:shd w:val="clear" w:color="auto" w:fill="FFFFFF"/>
            <w:vAlign w:val="center"/>
          </w:tcPr>
          <w:p w:rsidR="00485E95" w:rsidRPr="001A371B" w:rsidRDefault="00485E95" w:rsidP="001A371B">
            <w:pPr>
              <w:spacing w:before="120" w:line="360" w:lineRule="auto"/>
              <w:jc w:val="center"/>
              <w:rPr>
                <w:rFonts w:ascii="Times New Roman" w:hAnsi="Times New Roman" w:cs="Times New Roman"/>
                <w:b/>
              </w:rPr>
            </w:pPr>
            <w:r w:rsidRPr="001A371B">
              <w:rPr>
                <w:rFonts w:ascii="Times New Roman" w:hAnsi="Times New Roman" w:cs="Times New Roman"/>
                <w:b/>
              </w:rPr>
              <w:t>Tên văn bản QPPL quy định thủ tục hành chính mới</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b/>
              </w:rPr>
            </w:pPr>
            <w:r w:rsidRPr="001A371B">
              <w:rPr>
                <w:rFonts w:ascii="Times New Roman" w:hAnsi="Times New Roman" w:cs="Times New Roman"/>
                <w:b/>
              </w:rPr>
              <w:t>A.</w:t>
            </w:r>
          </w:p>
        </w:tc>
        <w:tc>
          <w:tcPr>
            <w:tcW w:w="3078"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b/>
              </w:rPr>
            </w:pPr>
            <w:r w:rsidRPr="001A371B">
              <w:rPr>
                <w:rFonts w:ascii="Times New Roman" w:hAnsi="Times New Roman" w:cs="Times New Roman"/>
                <w:b/>
              </w:rPr>
              <w:t>LĨNH VỰC VĂN HÓA:</w:t>
            </w:r>
          </w:p>
        </w:tc>
        <w:tc>
          <w:tcPr>
            <w:tcW w:w="4731" w:type="dxa"/>
            <w:tcBorders>
              <w:top w:val="single" w:sz="4" w:space="0" w:color="auto"/>
              <w:left w:val="single" w:sz="4" w:space="0" w:color="auto"/>
              <w:bottom w:val="nil"/>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b/>
                <w:lang w:val="en-US"/>
              </w:rPr>
            </w:pPr>
            <w:r w:rsidRPr="001A371B">
              <w:rPr>
                <w:rFonts w:ascii="Times New Roman" w:hAnsi="Times New Roman" w:cs="Times New Roman"/>
                <w:b/>
                <w:lang w:val="en-US"/>
              </w:rPr>
              <w:t>I.</w:t>
            </w:r>
          </w:p>
        </w:tc>
        <w:tc>
          <w:tcPr>
            <w:tcW w:w="3078"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b/>
              </w:rPr>
            </w:pPr>
            <w:r w:rsidRPr="001A371B">
              <w:rPr>
                <w:rFonts w:ascii="Times New Roman" w:hAnsi="Times New Roman" w:cs="Times New Roman"/>
                <w:b/>
              </w:rPr>
              <w:t>Lĩnh vực quảng cáo</w:t>
            </w:r>
          </w:p>
        </w:tc>
        <w:tc>
          <w:tcPr>
            <w:tcW w:w="4731" w:type="dxa"/>
            <w:tcBorders>
              <w:top w:val="single" w:sz="4" w:space="0" w:color="auto"/>
              <w:left w:val="single" w:sz="4" w:space="0" w:color="auto"/>
              <w:bottom w:val="nil"/>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1.</w:t>
            </w:r>
          </w:p>
        </w:tc>
        <w:tc>
          <w:tcPr>
            <w:tcW w:w="3078"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Thủ tục Tiếp nhận thông báo sản phẩm quảng cáo trên bảng quảng cáo, băng-rôn</w:t>
            </w:r>
          </w:p>
        </w:tc>
        <w:tc>
          <w:tcPr>
            <w:tcW w:w="4731" w:type="dxa"/>
            <w:tcBorders>
              <w:top w:val="single" w:sz="4" w:space="0" w:color="auto"/>
              <w:left w:val="single" w:sz="4" w:space="0" w:color="auto"/>
              <w:bottom w:val="nil"/>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Luật Quảng cáo số 16/2012/QH13 ngày 21 tháng 6 năm 2012 của Quốc hội. Có hiệu lực thi hành từ ngày 01 tháng 01 năm 2013.</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Nghị định số 181/2013/NĐ-CP ngày 14 tháng 11 năm 2013 của Chính phủ quy định chi tiết thi hành một số điều của Luật quảng cáo. Có hiệu lực thi hành kể từ ngày 01 tháng 01 năm 2014.</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Thông tư số 10/2013/TT-BVHTTDL ngày 06 tháng 12 năm 2013 của Bộ Văn hóa, Thể thao và Du lịch Quy định chi tiết và hướng dẫn thực hiện một số điều của Luật Quảng cáo và Nghị định số 181/2013/NĐ-CP ngày 14 tháng 11 năm 2013 của Chính phủ quy định chi tiết thi hành một số điều của Luật quảng cáo. Có hiệu lực thi hành kể từ ngày 01 tháng 02 năm 2014.</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Quyết định số 4535/QĐ-BVHTTDL ngày 26 tháng 12 năm 2013 của Bộ Văn hóa, Thể thao và Du lịch về việc công bố thủ tục hành chính mới ban hành trong lĩnh vực quảng cáo thuộc phạm vi chức năng quản lý nhà nước của Bộ Văn hóa, Thể thao và Du lịch.</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2</w:t>
            </w:r>
          </w:p>
        </w:tc>
        <w:tc>
          <w:tcPr>
            <w:tcW w:w="3078"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Thủ tục Tiếp nhận thông báo tổ chức đoàn người thực hiện quảng cáo</w:t>
            </w:r>
          </w:p>
        </w:tc>
        <w:tc>
          <w:tcPr>
            <w:tcW w:w="4731" w:type="dxa"/>
            <w:tcBorders>
              <w:top w:val="single" w:sz="4" w:space="0" w:color="auto"/>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lang w:val="en-US"/>
              </w:rPr>
            </w:pPr>
            <w:r w:rsidRPr="001A371B">
              <w:rPr>
                <w:rFonts w:ascii="Times New Roman" w:hAnsi="Times New Roman" w:cs="Times New Roman"/>
              </w:rPr>
              <w:t>+ Điểm c, Khoản 1, Điều 36 của Luật Quảng cáo số 16/2012/QH13 ngày 21 tháng 6 năm 2012 của Quốc hội. Có hiệu lực thi hành từ ngày 01 tháng 01 năm 2013.</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lastRenderedPageBreak/>
              <w:t>+ Quyết định số 4535/QĐ-BVHTTDL ngày 26 tháng 12 năm 2013 của Bộ Văn hóa, Thể thao và Du lịch về việc công bố thủ tục hành chính mới ban hành trong lĩnh vực quảng cáo thuộc phạm vi chức năng quản lý nhà nước của Bộ Văn hóa, Thể thao và Du lịch.</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b/>
              </w:rPr>
            </w:pPr>
            <w:r w:rsidRPr="001A371B">
              <w:rPr>
                <w:rFonts w:ascii="Times New Roman" w:hAnsi="Times New Roman" w:cs="Times New Roman"/>
                <w:b/>
              </w:rPr>
              <w:lastRenderedPageBreak/>
              <w:t>II.</w:t>
            </w:r>
          </w:p>
        </w:tc>
        <w:tc>
          <w:tcPr>
            <w:tcW w:w="7809" w:type="dxa"/>
            <w:gridSpan w:val="2"/>
            <w:tcBorders>
              <w:top w:val="single" w:sz="4" w:space="0" w:color="auto"/>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b/>
              </w:rPr>
            </w:pPr>
            <w:r w:rsidRPr="001A371B">
              <w:rPr>
                <w:rFonts w:ascii="Times New Roman" w:hAnsi="Times New Roman" w:cs="Times New Roman"/>
                <w:b/>
              </w:rPr>
              <w:t>Lĩnh vực Mỹ thuật, Nhiếp ảnh và Triển lãm:</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1.</w:t>
            </w:r>
          </w:p>
        </w:tc>
        <w:tc>
          <w:tcPr>
            <w:tcW w:w="3078"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Thủ tục cấp Giấy phép triển lãm tác phẩm nhiếp ảnh tại Việt Nam (Thẩm quyền của Sở Văn hóa, Thể thao và Du lịch)</w:t>
            </w:r>
          </w:p>
        </w:tc>
        <w:tc>
          <w:tcPr>
            <w:tcW w:w="4731" w:type="dxa"/>
            <w:tcBorders>
              <w:top w:val="single" w:sz="4" w:space="0" w:color="auto"/>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Thông tư số 17/2012/TT-BVHTTDL ngày 27/12/2012 của Bộ trưởng Bộ Văn hóa, Thể thao và Du lịch quy định về triển lãm, thi, liên hoan và sử dụng tác phẩm nhiếp ảnh. Có hiệu lực từ ngày 10 tháng 02 năm 2013.</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Quyết định số 1695/QĐ-BVHTTDL ngày 09 tháng 5 năm 2013 của Bộ trưởng Bộ Văn hóa, Thể thao và Du lịch về việc công bố thủ tục hành chính được sửa đổi, bổ sung trong lĩnh vực nhiếp ảnh thuộc phạm vi chức năng quản lý của Bộ Văn hóa, Thể thao và Du lịch. Có hiệu lực từ ngày 09 tháng 5 năm 2013.</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2.</w:t>
            </w:r>
          </w:p>
        </w:tc>
        <w:tc>
          <w:tcPr>
            <w:tcW w:w="3078"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Thủ tục cấp Giấy phép đưa tác phẩm nhiếp ảnh từ Việt Nam ra nước ngoài triển lãm (Thẩm quyền của Sở Văn hóa, Thể thao và Du lịch)</w:t>
            </w:r>
          </w:p>
        </w:tc>
        <w:tc>
          <w:tcPr>
            <w:tcW w:w="4731" w:type="dxa"/>
            <w:tcBorders>
              <w:top w:val="single" w:sz="4" w:space="0" w:color="auto"/>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Thông tư số 17/2012/TT-BVHTTDL ngày 27/12/2012 của Bộ trưởng Bộ Văn hóa, Thể thao và Du lịch quy định về triển lãm, thi, liên hoan và sử dụng tác phẩm nhiếp ảnh. Có hiệu lực từ ngày 10 tháng 02 năm 2013.</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xml:space="preserve">+ Quyết định số 1695/QĐ-BVHTTDL ngày 09 tháng 5 năm 2013 của Bộ trưởng Bộ Văn hóa, Thể thao và Du lịch về việc công bố thủ tục hành chính được sửa đổi, bổ sung trong lĩnh vực nhiếp ảnh thuộc phạm vi chức năng quản lý của Bộ Văn hóa, Thể thao và Du lịch. Có hiệu lực từ </w:t>
            </w:r>
            <w:r w:rsidRPr="001A371B">
              <w:rPr>
                <w:rFonts w:ascii="Times New Roman" w:hAnsi="Times New Roman" w:cs="Times New Roman"/>
              </w:rPr>
              <w:lastRenderedPageBreak/>
              <w:t>ngày 09 tháng 5 năm 2013.</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lastRenderedPageBreak/>
              <w:t>3.</w:t>
            </w:r>
          </w:p>
        </w:tc>
        <w:tc>
          <w:tcPr>
            <w:tcW w:w="3078"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Thủ tục Tiếp nhận hồ sơ đăng ký tổ chức thi, liên hoan tác phẩm nhiếp ảnh tại Việt Nam (Thẩm quyền của Sở Văn hóa, Thể thao và Du lịch)</w:t>
            </w:r>
          </w:p>
        </w:tc>
        <w:tc>
          <w:tcPr>
            <w:tcW w:w="4731" w:type="dxa"/>
            <w:tcBorders>
              <w:top w:val="single" w:sz="4" w:space="0" w:color="auto"/>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Thông tư số 17/2012/TT-BVHTTDL ngày 27/12/2012 của Bộ trưởng Bộ Văn hóa, Thể thao và Du lịch quy định về triển lãm, thi, liên hoan và sử dụng tác phẩm nhiếp ảnh. Có hiệu lực từ ngày 10 tháng 02 năm 2013.</w:t>
            </w:r>
          </w:p>
          <w:p w:rsidR="00485E95" w:rsidRPr="001A371B" w:rsidRDefault="00485E95" w:rsidP="001A371B">
            <w:pPr>
              <w:spacing w:before="120" w:line="360" w:lineRule="auto"/>
              <w:rPr>
                <w:rFonts w:ascii="Times New Roman" w:hAnsi="Times New Roman" w:cs="Times New Roman"/>
                <w:lang w:val="en-US"/>
              </w:rPr>
            </w:pPr>
            <w:r w:rsidRPr="001A371B">
              <w:rPr>
                <w:rFonts w:ascii="Times New Roman" w:hAnsi="Times New Roman" w:cs="Times New Roman"/>
              </w:rPr>
              <w:t xml:space="preserve">+ Quyết định số 1695/QĐ-BVHTTDL ngày 09 tháng 5 năm 2013 của Bộ trưởng Bộ Văn hóa, Thể thao và Du lịch về việc công bố thủ tục hành chính được sửa đổi, bổ sung trong lĩnh vực nhiếp ảnh thuộc phạm vi chức năng quản lý của Bộ Văn hóa, Thể thao và Du lịch. Có hiệu lực </w:t>
            </w:r>
            <w:r w:rsidRPr="001A371B">
              <w:rPr>
                <w:rFonts w:ascii="Times New Roman" w:hAnsi="Times New Roman" w:cs="Times New Roman"/>
                <w:lang w:val="en-US"/>
              </w:rPr>
              <w:t>t</w:t>
            </w:r>
            <w:r w:rsidRPr="001A371B">
              <w:rPr>
                <w:rFonts w:ascii="Times New Roman" w:hAnsi="Times New Roman" w:cs="Times New Roman"/>
              </w:rPr>
              <w:t>ừ ngày 09 tháng 5 năm 2013.</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4.</w:t>
            </w:r>
          </w:p>
        </w:tc>
        <w:tc>
          <w:tcPr>
            <w:tcW w:w="3078"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Thủ tục Tiếp nhận thông báo đưa tác phẩm nhiếp ảnh từ Việt Nam ra nước ngoài dự thi, liên hoan (Thẩm quyền của Sở Văn hóa, Thể thao và Du lịch)</w:t>
            </w:r>
          </w:p>
        </w:tc>
        <w:tc>
          <w:tcPr>
            <w:tcW w:w="4731" w:type="dxa"/>
            <w:tcBorders>
              <w:top w:val="single" w:sz="4" w:space="0" w:color="auto"/>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Thông tư số 17/2012/TT-BVHTTDL ngày 27/12/2012 của Bộ trưởng Bộ Văn hóa, Thể thao và Du lịch quy định về triển lãm, thi, liên hoan và sử dụng tác phẩm nhiếp ảnh. Có hiệu lực từ ngày 10 tháng 02 năm 2013.</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Quyết định số 1695/QĐ-BVHTTDL ngày 09 tháng 5 năm 2013 của Bộ trưởng Bộ Văn hóa, Thể thao và Du lịch về việc công bố thủ tục hành chính được sửa đổi, bổ sung trong lĩnh vực nhiếp ảnh thuộc phạm vi chức năng quản lý của Bộ Văn hóa, Thể thao và Du lịch. Có hiệu lực từ ngày 09 tháng 5 năm 2013.</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5.</w:t>
            </w:r>
          </w:p>
        </w:tc>
        <w:tc>
          <w:tcPr>
            <w:tcW w:w="3078"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Thủ tục Thông báo tổ chức thi sáng tác tác phẩm mỹ thuật</w:t>
            </w:r>
          </w:p>
        </w:tc>
        <w:tc>
          <w:tcPr>
            <w:tcW w:w="4731" w:type="dxa"/>
            <w:tcBorders>
              <w:top w:val="single" w:sz="4" w:space="0" w:color="auto"/>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Nghị định 113/2013/NĐ-CP ngày 02 tháng 10 năm 2013 về hoạt động Mỹ thuật. Có hiệu lực từ ngày 01 tháng 12 năm 2013.</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xml:space="preserve">+ Thông tư số 18/2013/TT-BVHTTDL ngày 30/12/2013 của Bộ trưởng Bộ Văn hóa, Thể </w:t>
            </w:r>
            <w:r w:rsidRPr="001A371B">
              <w:rPr>
                <w:rFonts w:ascii="Times New Roman" w:hAnsi="Times New Roman" w:cs="Times New Roman"/>
              </w:rPr>
              <w:lastRenderedPageBreak/>
              <w:t>thao và Du lịch quy định chi tiết thi hành một số điều tại Nghị định số 113/2013/NĐ-CP ngày 02 tháng 10 năm 2013 của Chính phủ về hoạt động mỹ thuật. Có hiệu lực từ ngày 18 tháng 02 năm 2014.</w:t>
            </w:r>
          </w:p>
        </w:tc>
      </w:tr>
      <w:bookmarkEnd w:id="0"/>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lastRenderedPageBreak/>
              <w:t>6.</w:t>
            </w:r>
          </w:p>
        </w:tc>
        <w:tc>
          <w:tcPr>
            <w:tcW w:w="3078"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Thủ tục cấp Giấy phép triển lãm mỹ thuật tại Việt Nam (Đối với các triển lãm mỹ thuật tại địa phương do cơ quan, tổ chức thuộc địa phương, cá nhân, nhóm cá nhân người Việt Nam hoặc người nước ngoài tổ chức)</w:t>
            </w:r>
          </w:p>
        </w:tc>
        <w:tc>
          <w:tcPr>
            <w:tcW w:w="4731" w:type="dxa"/>
            <w:tcBorders>
              <w:top w:val="single" w:sz="4" w:space="0" w:color="auto"/>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Nghị định 113/2013/NĐ-CP ngày 02 tháng 10 năm 2013 về hoạt động Mỹ thuật. Có hiệu lực từ ngày 01 tháng 12 năm 2013.</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Thông tư số 18/2013/TT-BVHTTDL ngày 30/12/2013 của Bộ trưởng Bộ Văn hóa, Thể thao và Du lịch quy định chi tiết thi hành một số điều tại Nghị định số 113/2013/NĐ-CP ngày 02 tháng 10 năm 2013 của Chính phủ về hoạt động mỹ thuật. Có hiệu lực từ ngày 18 tháng 02 năm 2014.</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7.</w:t>
            </w:r>
          </w:p>
        </w:tc>
        <w:tc>
          <w:tcPr>
            <w:tcW w:w="3078"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Thủ tục cấp Giấy phép đưa tác phẩm mỹ thuật từ Việt Nam ra nước ngoài triển lãm không mang danh nghĩa đại diện cho quốc gia Việt Nam</w:t>
            </w:r>
          </w:p>
        </w:tc>
        <w:tc>
          <w:tcPr>
            <w:tcW w:w="4731" w:type="dxa"/>
            <w:tcBorders>
              <w:top w:val="single" w:sz="4" w:space="0" w:color="auto"/>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Nghị định 113/2013/NĐ-CP ngày 02 tháng 10 năm 2013 về hoạt động Mỹ thuật. Có hiệu lực từ ngày 01 tháng 12 năm 2013.</w:t>
            </w:r>
          </w:p>
          <w:p w:rsidR="00485E95" w:rsidRPr="001A371B" w:rsidRDefault="00485E95" w:rsidP="001A371B">
            <w:pPr>
              <w:spacing w:before="120" w:line="360" w:lineRule="auto"/>
              <w:rPr>
                <w:rFonts w:ascii="Times New Roman" w:hAnsi="Times New Roman" w:cs="Times New Roman"/>
                <w:lang w:val="en-US"/>
              </w:rPr>
            </w:pPr>
            <w:r w:rsidRPr="001A371B">
              <w:rPr>
                <w:rFonts w:ascii="Times New Roman" w:hAnsi="Times New Roman" w:cs="Times New Roman"/>
              </w:rPr>
              <w:t>+ Thông tư số 18/2013/TT-BVHTTDL ngày 30/12/2013 của Bộ trưởng Bộ Văn hóa, Thể thao và Du lịch quy định chi tiết thi hành một số điều tại Nghị định số 113/2013/NĐ-CP ngày 02 tháng 10 năm 2013 của Chính phủ về hoạt động mỹ thuật. Có hiệu lực từ ngày 18 tháng 02 năm 2014.</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lang w:val="en-US"/>
              </w:rPr>
            </w:pPr>
            <w:r w:rsidRPr="001A371B">
              <w:rPr>
                <w:rFonts w:ascii="Times New Roman" w:hAnsi="Times New Roman" w:cs="Times New Roman"/>
                <w:lang w:val="en-US"/>
              </w:rPr>
              <w:t>8.</w:t>
            </w:r>
          </w:p>
        </w:tc>
        <w:tc>
          <w:tcPr>
            <w:tcW w:w="3078"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Thủ tục cấp Giấy phép sao chép tác phẩm mỹ thuật về danh nhân văn hóa, anh hùng dân tộc, lãnh tụ (nhằm mục đích kinh doanh hoặc đặt ở nơi công cộng)</w:t>
            </w:r>
          </w:p>
        </w:tc>
        <w:tc>
          <w:tcPr>
            <w:tcW w:w="4731" w:type="dxa"/>
            <w:tcBorders>
              <w:top w:val="single" w:sz="4" w:space="0" w:color="auto"/>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Nghị định 113/2013/NĐ-CP ngày 02 tháng 10 năm 2013 về hoạt động Mỹ thuật. Có hiệu lực từ ngày 01 tháng 12 năm 2013.</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xml:space="preserve">+ Thông tư số 18/2013/TT-BVHTTDL ngày 30/12/2013 của Bộ trưởng Bộ Văn hóa, Thể </w:t>
            </w:r>
            <w:r w:rsidRPr="001A371B">
              <w:rPr>
                <w:rFonts w:ascii="Times New Roman" w:hAnsi="Times New Roman" w:cs="Times New Roman"/>
              </w:rPr>
              <w:lastRenderedPageBreak/>
              <w:t>thao và Du lịch quy định chi tiết thi hành một số điều tại Nghị định số 113/2013/NĐ-CP ngày 02 tháng 10 năm 2013 của Chính phủ về hoạt động mỹ thuật. Có hiệu lực từ ngày 18 tháng 02 năm 2014.</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b/>
                <w:lang w:val="en-US"/>
              </w:rPr>
            </w:pPr>
            <w:r w:rsidRPr="001A371B">
              <w:rPr>
                <w:rFonts w:ascii="Times New Roman" w:hAnsi="Times New Roman" w:cs="Times New Roman"/>
                <w:b/>
                <w:lang w:val="en-US"/>
              </w:rPr>
              <w:lastRenderedPageBreak/>
              <w:t>III</w:t>
            </w:r>
          </w:p>
        </w:tc>
        <w:tc>
          <w:tcPr>
            <w:tcW w:w="3078"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b/>
              </w:rPr>
            </w:pPr>
            <w:r w:rsidRPr="001A371B">
              <w:rPr>
                <w:rFonts w:ascii="Times New Roman" w:hAnsi="Times New Roman" w:cs="Times New Roman"/>
                <w:b/>
              </w:rPr>
              <w:t>Lĩnh vực Văn hóa cơ sở</w:t>
            </w:r>
          </w:p>
        </w:tc>
        <w:tc>
          <w:tcPr>
            <w:tcW w:w="4731" w:type="dxa"/>
            <w:tcBorders>
              <w:top w:val="single" w:sz="4" w:space="0" w:color="auto"/>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lang w:val="en-US"/>
              </w:rPr>
            </w:pPr>
            <w:r w:rsidRPr="001A371B">
              <w:rPr>
                <w:rFonts w:ascii="Times New Roman" w:hAnsi="Times New Roman" w:cs="Times New Roman"/>
                <w:lang w:val="en-US"/>
              </w:rPr>
              <w:t>1.</w:t>
            </w:r>
          </w:p>
        </w:tc>
        <w:tc>
          <w:tcPr>
            <w:tcW w:w="3078"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Thủ tục cấp Giấy phép tổ chức Lễ hội</w:t>
            </w:r>
          </w:p>
        </w:tc>
        <w:tc>
          <w:tcPr>
            <w:tcW w:w="4731" w:type="dxa"/>
            <w:tcBorders>
              <w:top w:val="single" w:sz="4" w:space="0" w:color="auto"/>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Nghị định số 103/2009/NĐ-CP ngày 06 tháng 11 năm 2009 của Chính phủ ban hành Quy chế hoạt động văn hóa và kinh doanh dịch vụ văn hóa công cộng. Có hiệu lực từ ngày 01/01/2010.</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Nghị định số 01/2012/NĐ-CP ngày 04 tháng 01 năm 2012 về sửa đổi, bổ sung, thay thế hoặc bãi bỏ, h</w:t>
            </w:r>
            <w:r w:rsidRPr="001A371B">
              <w:rPr>
                <w:rFonts w:ascii="Times New Roman" w:hAnsi="Times New Roman" w:cs="Times New Roman"/>
                <w:highlight w:val="white"/>
              </w:rPr>
              <w:t>ủy</w:t>
            </w:r>
            <w:r w:rsidRPr="001A371B">
              <w:rPr>
                <w:rFonts w:ascii="Times New Roman" w:hAnsi="Times New Roman" w:cs="Times New Roman"/>
              </w:rPr>
              <w:t xml:space="preserve"> bỏ các quy định có liên quan đến thủ tục hành chính thuộc phạm vi, chức năng quản lý của Bộ Văn hóa, Thể thao và Du lịch. Có hiệu lực từ ngày 27 tháng 02 năm 2012.</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Thông tư số 04/2009/TT-BVHTT ngày 16 tháng 12 năm 2009 của Bộ Văn hóa, Thể thao và Du lịch quy định chi tiết thi hành một số quy định tại Quy chế hoạt động văn hóa và kinh doanh dịch vụ văn hóa công cộng ban hành kèm theo Nghị định số 103/2009/NĐ-CP ngày 06 tháng 11 năm 2009 của Chính phủ. Có hiệu lực từ ngày 01/01/2010.</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Thông tư số 07/2011/TT-BVHTTDL ngày 07 tháng 6 năm 2011 của Bộ Văn hóa, Thể thao và Du lịch về sửa đổi, bổ sung, thay thế hoặc bãi bỏ, hủy bỏ các quy định có liên quan đến thủ tục hành chính thuộc phạm vi chức năng quản lý của Bộ Văn hóa, Thể thao và Du lịch. Ngày có hiệu lực 25/7/2011.</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lastRenderedPageBreak/>
              <w:t>+ Quyết định số 39/2001/QĐ-BVHTT ngày 23 tháng 8 năm 2001 về việc ban hành Quy chế tổ chức lễ hội. Có hiệu lực từ ngày 07/9/2001.</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Quyết định số 5905/QĐ-BVHTTDL ngày 27 tháng 12 năm 2012 của Bộ trưởng Bộ Văn hóa, Thể thao và Du lịch về việc công bố thủ tục hành chính thuộc phạm vi chức năng quản lý nhà nước của Bộ Văn hóa, Thể thao và Du lịch. Có hiệu lực từ ngày 27/12/2012.</w:t>
            </w:r>
          </w:p>
        </w:tc>
      </w:tr>
    </w:tbl>
    <w:p w:rsidR="00485E95" w:rsidRPr="001A371B" w:rsidRDefault="00485E95" w:rsidP="001A371B">
      <w:pPr>
        <w:spacing w:before="120" w:line="360" w:lineRule="auto"/>
        <w:rPr>
          <w:rFonts w:ascii="Times New Roman" w:hAnsi="Times New Roman" w:cs="Times New Roman"/>
          <w:b/>
        </w:rPr>
      </w:pPr>
      <w:r w:rsidRPr="001A371B">
        <w:rPr>
          <w:rFonts w:ascii="Times New Roman" w:hAnsi="Times New Roman" w:cs="Times New Roman"/>
          <w:b/>
        </w:rPr>
        <w:lastRenderedPageBreak/>
        <w:t>II. Thủ tục hành chính bị hủy bỏ hoặc bãi bỏ:</w:t>
      </w:r>
    </w:p>
    <w:tbl>
      <w:tblPr>
        <w:tblW w:w="0" w:type="auto"/>
        <w:tblLayout w:type="fixed"/>
        <w:tblCellMar>
          <w:left w:w="29" w:type="dxa"/>
          <w:right w:w="29" w:type="dxa"/>
        </w:tblCellMar>
        <w:tblLook w:val="0000" w:firstRow="0" w:lastRow="0" w:firstColumn="0" w:lastColumn="0" w:noHBand="0" w:noVBand="0"/>
      </w:tblPr>
      <w:tblGrid>
        <w:gridCol w:w="599"/>
        <w:gridCol w:w="1083"/>
        <w:gridCol w:w="2850"/>
        <w:gridCol w:w="3819"/>
      </w:tblGrid>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nil"/>
              <w:right w:val="nil"/>
            </w:tcBorders>
            <w:shd w:val="clear" w:color="auto" w:fill="FFFFFF"/>
            <w:vAlign w:val="center"/>
          </w:tcPr>
          <w:p w:rsidR="00485E95" w:rsidRPr="001A371B" w:rsidRDefault="00485E95" w:rsidP="001A371B">
            <w:pPr>
              <w:spacing w:before="120" w:line="360" w:lineRule="auto"/>
              <w:jc w:val="center"/>
              <w:rPr>
                <w:rFonts w:ascii="Times New Roman" w:hAnsi="Times New Roman" w:cs="Times New Roman"/>
                <w:b/>
              </w:rPr>
            </w:pPr>
            <w:r w:rsidRPr="001A371B">
              <w:rPr>
                <w:rFonts w:ascii="Times New Roman" w:hAnsi="Times New Roman" w:cs="Times New Roman"/>
                <w:b/>
              </w:rPr>
              <w:t>STT</w:t>
            </w:r>
          </w:p>
        </w:tc>
        <w:tc>
          <w:tcPr>
            <w:tcW w:w="1083" w:type="dxa"/>
            <w:tcBorders>
              <w:top w:val="single" w:sz="4" w:space="0" w:color="auto"/>
              <w:left w:val="single" w:sz="4" w:space="0" w:color="auto"/>
              <w:bottom w:val="nil"/>
              <w:right w:val="nil"/>
            </w:tcBorders>
            <w:shd w:val="clear" w:color="auto" w:fill="FFFFFF"/>
            <w:vAlign w:val="center"/>
          </w:tcPr>
          <w:p w:rsidR="00485E95" w:rsidRPr="001A371B" w:rsidRDefault="00485E95" w:rsidP="001A371B">
            <w:pPr>
              <w:spacing w:before="120" w:line="360" w:lineRule="auto"/>
              <w:jc w:val="center"/>
              <w:rPr>
                <w:rFonts w:ascii="Times New Roman" w:hAnsi="Times New Roman" w:cs="Times New Roman"/>
                <w:b/>
              </w:rPr>
            </w:pPr>
            <w:r w:rsidRPr="001A371B">
              <w:rPr>
                <w:rFonts w:ascii="Times New Roman" w:hAnsi="Times New Roman" w:cs="Times New Roman"/>
                <w:b/>
              </w:rPr>
              <w:t xml:space="preserve">Số hồ </w:t>
            </w:r>
            <w:proofErr w:type="spellStart"/>
            <w:r w:rsidRPr="001A371B">
              <w:rPr>
                <w:rFonts w:ascii="Times New Roman" w:hAnsi="Times New Roman" w:cs="Times New Roman"/>
                <w:b/>
                <w:lang w:val="en-US"/>
              </w:rPr>
              <w:t>sơ</w:t>
            </w:r>
            <w:proofErr w:type="spellEnd"/>
            <w:r w:rsidRPr="001A371B">
              <w:rPr>
                <w:rFonts w:ascii="Times New Roman" w:hAnsi="Times New Roman" w:cs="Times New Roman"/>
                <w:b/>
                <w:lang w:val="en-US"/>
              </w:rPr>
              <w:t xml:space="preserve"> </w:t>
            </w:r>
            <w:r w:rsidRPr="001A371B">
              <w:rPr>
                <w:rFonts w:ascii="Times New Roman" w:hAnsi="Times New Roman" w:cs="Times New Roman"/>
                <w:b/>
              </w:rPr>
              <w:t>TTHC</w:t>
            </w:r>
          </w:p>
        </w:tc>
        <w:tc>
          <w:tcPr>
            <w:tcW w:w="2850" w:type="dxa"/>
            <w:tcBorders>
              <w:top w:val="single" w:sz="4" w:space="0" w:color="auto"/>
              <w:left w:val="single" w:sz="4" w:space="0" w:color="auto"/>
              <w:bottom w:val="nil"/>
              <w:right w:val="nil"/>
            </w:tcBorders>
            <w:shd w:val="clear" w:color="auto" w:fill="FFFFFF"/>
            <w:vAlign w:val="center"/>
          </w:tcPr>
          <w:p w:rsidR="00485E95" w:rsidRPr="001A371B" w:rsidRDefault="00485E95" w:rsidP="001A371B">
            <w:pPr>
              <w:spacing w:before="120" w:line="360" w:lineRule="auto"/>
              <w:jc w:val="center"/>
              <w:rPr>
                <w:rFonts w:ascii="Times New Roman" w:hAnsi="Times New Roman" w:cs="Times New Roman"/>
                <w:b/>
              </w:rPr>
            </w:pPr>
            <w:r w:rsidRPr="001A371B">
              <w:rPr>
                <w:rFonts w:ascii="Times New Roman" w:hAnsi="Times New Roman" w:cs="Times New Roman"/>
                <w:b/>
              </w:rPr>
              <w:t>Tên Thủ tục hành chính</w:t>
            </w:r>
          </w:p>
        </w:tc>
        <w:tc>
          <w:tcPr>
            <w:tcW w:w="3819" w:type="dxa"/>
            <w:tcBorders>
              <w:top w:val="single" w:sz="4" w:space="0" w:color="auto"/>
              <w:left w:val="single" w:sz="4" w:space="0" w:color="auto"/>
              <w:bottom w:val="nil"/>
              <w:right w:val="single" w:sz="4" w:space="0" w:color="auto"/>
            </w:tcBorders>
            <w:shd w:val="clear" w:color="auto" w:fill="FFFFFF"/>
            <w:vAlign w:val="center"/>
          </w:tcPr>
          <w:p w:rsidR="00485E95" w:rsidRPr="001A371B" w:rsidRDefault="00485E95" w:rsidP="001A371B">
            <w:pPr>
              <w:spacing w:before="120" w:line="360" w:lineRule="auto"/>
              <w:jc w:val="center"/>
              <w:rPr>
                <w:rFonts w:ascii="Times New Roman" w:hAnsi="Times New Roman" w:cs="Times New Roman"/>
                <w:b/>
              </w:rPr>
            </w:pPr>
            <w:r w:rsidRPr="001A371B">
              <w:rPr>
                <w:rFonts w:ascii="Times New Roman" w:hAnsi="Times New Roman" w:cs="Times New Roman"/>
                <w:b/>
              </w:rPr>
              <w:t>Tên Văn bản QPPL quy định về việc hủy bỏ, bãi bỏ TTHC</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b/>
              </w:rPr>
            </w:pPr>
            <w:r w:rsidRPr="001A371B">
              <w:rPr>
                <w:rFonts w:ascii="Times New Roman" w:hAnsi="Times New Roman" w:cs="Times New Roman"/>
                <w:b/>
              </w:rPr>
              <w:t>a.</w:t>
            </w:r>
          </w:p>
        </w:tc>
        <w:tc>
          <w:tcPr>
            <w:tcW w:w="3933" w:type="dxa"/>
            <w:gridSpan w:val="2"/>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b/>
              </w:rPr>
            </w:pPr>
            <w:r w:rsidRPr="001A371B">
              <w:rPr>
                <w:rFonts w:ascii="Times New Roman" w:hAnsi="Times New Roman" w:cs="Times New Roman"/>
                <w:b/>
              </w:rPr>
              <w:t>Lĩnh vực Quảng cáo</w:t>
            </w:r>
          </w:p>
        </w:tc>
        <w:tc>
          <w:tcPr>
            <w:tcW w:w="3819" w:type="dxa"/>
            <w:tcBorders>
              <w:top w:val="single" w:sz="4" w:space="0" w:color="auto"/>
              <w:left w:val="single" w:sz="4" w:space="0" w:color="auto"/>
              <w:bottom w:val="nil"/>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1.</w:t>
            </w:r>
          </w:p>
        </w:tc>
        <w:tc>
          <w:tcPr>
            <w:tcW w:w="1083"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030898</w:t>
            </w:r>
          </w:p>
        </w:tc>
        <w:tc>
          <w:tcPr>
            <w:tcW w:w="2850"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(trên băng - rôn).</w:t>
            </w:r>
          </w:p>
        </w:tc>
        <w:tc>
          <w:tcPr>
            <w:tcW w:w="3819" w:type="dxa"/>
            <w:vMerge w:val="restart"/>
            <w:tcBorders>
              <w:top w:val="single" w:sz="4" w:space="0" w:color="auto"/>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Luật Quảng cáo ngày 21 tháng 6 năm 2012.</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Nghị định số 181/2013/NĐ-CP ngày 14 tháng 11 năm 2013 của Chính phủ quy định chi tiết thi hành một số điều của Luật quảng cáo. Có hiệu lực thi hành kể từ ngày 01 tháng 01 năm 2014.</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xml:space="preserve">+ Thông tư số 10/2013/TT-BVHTTDL ngày 06 tháng 12 năm 2013 của Bộ Văn hóa, Thể thao và Du lịch Quy định chi tiết và hướng dẫn thực hiện một số điều của Luật Quảng cáo và Nghị định số 181/2013/NĐ-CP ngày 14 tháng 11 năm 2013 của Chính phủ quy định chi tiết thi hành một số điều </w:t>
            </w:r>
            <w:r w:rsidRPr="001A371B">
              <w:rPr>
                <w:rFonts w:ascii="Times New Roman" w:hAnsi="Times New Roman" w:cs="Times New Roman"/>
              </w:rPr>
              <w:lastRenderedPageBreak/>
              <w:t>của Luật quảng cáo. Có hiệu lực thi hành kể từ ngày 01 tháng 02 năm 2014.</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Quyết định số 4535/QĐ-BVHTTDL ngày 26 tháng 12 năm 2013 của Bộ Văn hóa, Thể thao và Du lịch về việc công bố thủ tục hành chính mới ban hành trong lĩnh vực quảng cáo thuộc phạm vi chức năng quản lý nhà nước của Bộ Văn hóa, Thể thao và Du lịch.</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2.</w:t>
            </w:r>
          </w:p>
        </w:tc>
        <w:tc>
          <w:tcPr>
            <w:tcW w:w="1083"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030908</w:t>
            </w:r>
          </w:p>
        </w:tc>
        <w:tc>
          <w:tcPr>
            <w:tcW w:w="2850"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(trên băng - rôn liên quan đến lĩnh vực y tế)</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3.</w:t>
            </w:r>
          </w:p>
        </w:tc>
        <w:tc>
          <w:tcPr>
            <w:tcW w:w="1083"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030911</w:t>
            </w:r>
          </w:p>
        </w:tc>
        <w:tc>
          <w:tcPr>
            <w:tcW w:w="2850"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(trên băng - rôn liên quan đến lĩnh vực Nông nghiệp)</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4.</w:t>
            </w:r>
          </w:p>
        </w:tc>
        <w:tc>
          <w:tcPr>
            <w:tcW w:w="1083"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030916</w:t>
            </w:r>
          </w:p>
        </w:tc>
        <w:tc>
          <w:tcPr>
            <w:tcW w:w="2850" w:type="dxa"/>
            <w:tcBorders>
              <w:top w:val="single" w:sz="4" w:space="0" w:color="auto"/>
              <w:left w:val="single" w:sz="4" w:space="0" w:color="auto"/>
              <w:bottom w:val="nil"/>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(trên pano nhỏ dưới 10m²) và vật thể trên không, dưới nước - Thời gian dưới 30 ngày.</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5,</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030924</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xml:space="preserve">Giấy phép thực hiện quảng cáo (trên pano nhỏ dưới </w:t>
            </w:r>
            <w:r w:rsidRPr="001A371B">
              <w:rPr>
                <w:rFonts w:ascii="Times New Roman" w:hAnsi="Times New Roman" w:cs="Times New Roman"/>
              </w:rPr>
              <w:lastRenderedPageBreak/>
              <w:t>10m²) và vật thể trên không, dưới nước - Thời gian dưới 30 ngày (liên quan đến lĩnh vực y tế)</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lastRenderedPageBreak/>
              <w:t>6.</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030928</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trên pano nhỏ (dưới 10m²) và vật thể trên không, dưới nước - thời gian dưới 30 ngày (liên quan đến lĩnh vực Nông nghiệp)</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7.</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031249</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(diện tích từ 10m² - 20m²)</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8.</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031273</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(diện tích từ 10m² - 20m² - liên quan đến lĩnh vực y tế)</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9.</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031288</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(diện tích từ 10m² - 20m² - liên quan đến lĩnh vực Nông nghiệp)</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10.</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031296</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(diện tích từ 20m² - 30m²)</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11.</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031303</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(diện tích từ 20m² - 30m² - liên quan đến lĩnh vực y tế)</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12.</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031307</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xml:space="preserve">Giấy phép thực hiện quảng cáo (diện tích từ 20m² - </w:t>
            </w:r>
            <w:r w:rsidRPr="001A371B">
              <w:rPr>
                <w:rFonts w:ascii="Times New Roman" w:hAnsi="Times New Roman" w:cs="Times New Roman"/>
              </w:rPr>
              <w:lastRenderedPageBreak/>
              <w:t>30m² - liên quan đến lĩnh vực Nông nghiệp)</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lastRenderedPageBreak/>
              <w:t>13.</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031310</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(diện tích từ 30m² - 40m² )</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14.</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031314</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(diện tích từ 30m² - 40m² - liên quan đến lĩnh vực y tế)</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15.</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031318</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(diện tích từ 30m² - 40m² - liên quan đến lĩnh vực Nông nghiệp)</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16.</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031323</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(trên 40m²)</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17.</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031329</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(diện tích trên 40m² - liên quan đến lĩnh vực y tế)</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18.</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031332</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(diện tích trên 40m² - liên quan đến lĩnh vực Nông nghiệp)</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19.</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030016</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(phương tiện màn hình điện tử)</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20.</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030030</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(phương tiện màn hình điện tử - liên quan đến lĩnh vực y tế)</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lastRenderedPageBreak/>
              <w:t>21.</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030031</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(phương tiện màn hình điện tử - liên quan đến lĩnh vực Nông nghiệp)</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22.</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031070</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Quyết định cho phép thực hiện quảng cáo trên phương tiện di động</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23.</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w:t>
            </w:r>
            <w:r w:rsidRPr="001A371B">
              <w:rPr>
                <w:rFonts w:ascii="Times New Roman" w:hAnsi="Times New Roman" w:cs="Times New Roman"/>
                <w:lang w:val="en-US"/>
              </w:rPr>
              <w:t>1</w:t>
            </w:r>
            <w:r w:rsidRPr="001A371B">
              <w:rPr>
                <w:rFonts w:ascii="Times New Roman" w:hAnsi="Times New Roman" w:cs="Times New Roman"/>
              </w:rPr>
              <w:t>084</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Quyết định cho phép thực hiện quảng cáo trên phương tiện di động (liên quan đến lĩnh vực y tế)</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24.</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031091</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Quyết định cho phép thực hiện quảng cáo trên phương tiện di động (liên quan đến lĩnh vực Nông nghiệp)</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25.</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030873</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 Gia hạn (diện tích từ 10m² - 20m²)</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26.</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030875</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 Gia hạn (diện tích từ 10m² - 20m² - liên quan đến lĩnh vực y tế)</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27.</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030881</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 Gia hạn (diện tích từ 10m² - 20m² - liên quan đến lĩnh vực Nông nghiệp)</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28.</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030886</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 Gia hạn (diện tích từ 20m² - 30m²)</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lastRenderedPageBreak/>
              <w:t>29.</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030885</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 Gia hạn (diện tích từ 20m² - 30m² - liên quan đến lĩnh vực y tế)</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30.</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030889</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 Gia hạn (diện tích từ 20m² - 30m² - liên quan đến lĩnh vực Nông nghiệp)</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31.</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030890</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 Gia hạn (diện tích từ 30m² - 40m²)</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32.</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030891</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 Gia hạn (diện tích từ 30m² - 40m² - liên quan đến lĩnh vực y tế)</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33.</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030893</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 Gia hạn (diện tích từ 30m² - 40m² - liên quan đến lĩnh vực Nông nghiệp)</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34.</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030895</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Gia hạn (trên 40m²)</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35.</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030897</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 Gia hạn (diện tích trên 40m² - liên quan đến lĩnh vực y tế)</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36.</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030900</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quảng cáo - Gia hạn (diện tích trên 40m² - liên quan đến lĩnh vực Nông nghiệp)</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b/>
              </w:rPr>
            </w:pPr>
            <w:r w:rsidRPr="001A371B">
              <w:rPr>
                <w:rFonts w:ascii="Times New Roman" w:hAnsi="Times New Roman" w:cs="Times New Roman"/>
                <w:b/>
              </w:rPr>
              <w:lastRenderedPageBreak/>
              <w:t>b.</w:t>
            </w:r>
          </w:p>
        </w:tc>
        <w:tc>
          <w:tcPr>
            <w:tcW w:w="3933" w:type="dxa"/>
            <w:gridSpan w:val="2"/>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b/>
              </w:rPr>
            </w:pPr>
            <w:r w:rsidRPr="001A371B">
              <w:rPr>
                <w:rFonts w:ascii="Times New Roman" w:hAnsi="Times New Roman" w:cs="Times New Roman"/>
                <w:b/>
              </w:rPr>
              <w:t>Lĩnh vực Văn hóa quần chúng</w:t>
            </w:r>
          </w:p>
        </w:tc>
        <w:tc>
          <w:tcPr>
            <w:tcW w:w="3819" w:type="dxa"/>
            <w:vMerge/>
            <w:tcBorders>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lang w:val="en-US"/>
              </w:rPr>
            </w:pPr>
            <w:r w:rsidRPr="001A371B">
              <w:rPr>
                <w:rFonts w:ascii="Times New Roman" w:hAnsi="Times New Roman" w:cs="Times New Roman"/>
                <w:lang w:val="en-US"/>
              </w:rPr>
              <w:t>1.</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lang w:val="en-US"/>
              </w:rPr>
            </w:pPr>
            <w:r w:rsidRPr="001A371B">
              <w:rPr>
                <w:rFonts w:ascii="Times New Roman" w:hAnsi="Times New Roman" w:cs="Times New Roman"/>
                <w:lang w:val="en-US"/>
              </w:rPr>
              <w:t>031136</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lang w:val="en-US"/>
              </w:rPr>
            </w:pPr>
            <w:r w:rsidRPr="001A371B">
              <w:rPr>
                <w:rFonts w:ascii="Times New Roman" w:hAnsi="Times New Roman" w:cs="Times New Roman"/>
              </w:rPr>
              <w:t>Giấy phép Tổ chức hoạt</w:t>
            </w:r>
            <w:r w:rsidRPr="001A371B">
              <w:rPr>
                <w:rFonts w:ascii="Times New Roman" w:hAnsi="Times New Roman" w:cs="Times New Roman"/>
                <w:lang w:val="en-US"/>
              </w:rPr>
              <w:t xml:space="preserve"> </w:t>
            </w:r>
            <w:proofErr w:type="spellStart"/>
            <w:r w:rsidRPr="001A371B">
              <w:rPr>
                <w:rFonts w:ascii="Times New Roman" w:hAnsi="Times New Roman" w:cs="Times New Roman"/>
                <w:lang w:val="en-US"/>
              </w:rPr>
              <w:t>động</w:t>
            </w:r>
            <w:proofErr w:type="spellEnd"/>
            <w:r w:rsidRPr="001A371B">
              <w:rPr>
                <w:rFonts w:ascii="Times New Roman" w:hAnsi="Times New Roman" w:cs="Times New Roman"/>
                <w:lang w:val="en-US"/>
              </w:rPr>
              <w:t xml:space="preserve"> </w:t>
            </w:r>
            <w:proofErr w:type="spellStart"/>
            <w:r w:rsidRPr="001A371B">
              <w:rPr>
                <w:rFonts w:ascii="Times New Roman" w:hAnsi="Times New Roman" w:cs="Times New Roman"/>
                <w:lang w:val="en-US"/>
              </w:rPr>
              <w:t>Lễ</w:t>
            </w:r>
            <w:proofErr w:type="spellEnd"/>
            <w:r w:rsidRPr="001A371B">
              <w:rPr>
                <w:rFonts w:ascii="Times New Roman" w:hAnsi="Times New Roman" w:cs="Times New Roman"/>
                <w:lang w:val="en-US"/>
              </w:rPr>
              <w:t xml:space="preserve"> </w:t>
            </w:r>
            <w:proofErr w:type="spellStart"/>
            <w:r w:rsidRPr="001A371B">
              <w:rPr>
                <w:rFonts w:ascii="Times New Roman" w:hAnsi="Times New Roman" w:cs="Times New Roman"/>
                <w:lang w:val="en-US"/>
              </w:rPr>
              <w:t>hội</w:t>
            </w:r>
            <w:proofErr w:type="spellEnd"/>
          </w:p>
        </w:tc>
        <w:tc>
          <w:tcPr>
            <w:tcW w:w="3819" w:type="dxa"/>
            <w:vMerge w:val="restart"/>
            <w:tcBorders>
              <w:top w:val="single" w:sz="4" w:space="0" w:color="auto"/>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Nghị định số 103/2009/NĐ-CP ngày 06 tháng 11 năm 2009 của Chính</w:t>
            </w:r>
            <w:r w:rsidRPr="001A371B">
              <w:rPr>
                <w:rFonts w:ascii="Times New Roman" w:hAnsi="Times New Roman" w:cs="Times New Roman"/>
                <w:lang w:val="en-US"/>
              </w:rPr>
              <w:t xml:space="preserve"> </w:t>
            </w:r>
            <w:r w:rsidRPr="001A371B">
              <w:rPr>
                <w:rFonts w:ascii="Times New Roman" w:hAnsi="Times New Roman" w:cs="Times New Roman"/>
              </w:rPr>
              <w:t>phủ ban hành Quy chế hoạt động văn hóa và kinh doanh dịch vụ văn hóa công cộng. Có hiệu lực từ ngày 01/01/2010.</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Nghị định số 01/2012/NĐ-CP ngày 04 tháng 01 năm 2012 về sửa đổi, bổ sung, thay thế hoặc bãi bỏ, h</w:t>
            </w:r>
            <w:r w:rsidRPr="001A371B">
              <w:rPr>
                <w:rFonts w:ascii="Times New Roman" w:hAnsi="Times New Roman" w:cs="Times New Roman"/>
                <w:highlight w:val="white"/>
              </w:rPr>
              <w:t>ủy</w:t>
            </w:r>
            <w:r w:rsidRPr="001A371B">
              <w:rPr>
                <w:rFonts w:ascii="Times New Roman" w:hAnsi="Times New Roman" w:cs="Times New Roman"/>
              </w:rPr>
              <w:t xml:space="preserve"> bỏ các quy định có liên quan đến thủ tục hành chính thuộc phạm vi, chức năng quản lý của Bộ Văn hóa, Thể thao và Du lịch. Có hiệu lực từ ngày 27 tháng 02 năm 2012.</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Thông tư số 04/2009/TT-BVHTT ngày 16 tháng 12 năm 2009 của Bộ Văn hóa, Thể thao và Du lịch quy định chi tiết thi hành một số quy định tại Quy chế hoạt động văn hóa và kinh doanh dịch vụ văn hóa công cộng ban hành kèm theo Nghị định số 103/2009/NĐ-CP ngày 06 tháng 11 năm 2009 của Chính phủ. Có hiệu lực từ ngày 01/01/2010.</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xml:space="preserve">+ Thông tư số 07/2011/TT-BVHTTDL ngày 07 tháng 6 năm 2011 của Bộ Văn hóa, Thể thao và Du lịch về sửa đổi, bổ sung, thay thế hoặc bãi bỏ, hủy bỏ các quy định có liên quan đến thủ tục hành chính thuộc phạm vi chức năng quản lý của Bộ Văn hóa, Thể thao và </w:t>
            </w:r>
            <w:r w:rsidRPr="001A371B">
              <w:rPr>
                <w:rFonts w:ascii="Times New Roman" w:hAnsi="Times New Roman" w:cs="Times New Roman"/>
              </w:rPr>
              <w:lastRenderedPageBreak/>
              <w:t>Du lịch. Ngày có hiệu lực 25/7/2011.</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Quyết định số 39/2001/QĐ-BVHTT ngày 23 tháng 8 năm 2001 về việc ban hành Quy chế tổ chức lễ hội. Có hiệu lực từ ngày 07/9/2001.</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Quyết định số 5905/QĐ-BVHTTDL ngày 27 tháng 12 năm 2012 của Bộ trưởng Bộ Văn hóa, Thể thao và Du lịch về việc công bố thủ tục hành chính thuộc phạm vi chức năng quản lý nhà nước của Bộ Văn hóa, Thể thao và Du lịch. Có hiệu  lực từ ngày 27/12/2012.</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Điều 8, Nghị định 63/2010/NĐ-CP ngày 08 tháng 6 năm 2010 của Chính phủ về kiểm soát thủ tục hành chính). Có hiệu lực thi hành kể từ ngày 14 tháng 10 năm 2010.</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Thông tư 10/2012/TT-BVHTTDL ngày 29 tháng 11 năm 2012 của Bộ Văn hóa, Thể thao và Du lịch quy định về điều kiện hoạt động của cơ sở thể thao tổ chức hoạt động Lân Sư Rồng. Có hiệu lực thi hành kể từ ngày 10 tháng 01 năm 2013.</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2.</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030901</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giới thiệu Lân Sư Rồng biểu diễn tại các tỉnh, thành ngoài Thành phố Hồ Chí Minh</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3.</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030906</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Tổ chức hoạt động Lân Sư Rồng</w:t>
            </w:r>
          </w:p>
        </w:tc>
        <w:tc>
          <w:tcPr>
            <w:tcW w:w="3819" w:type="dxa"/>
            <w:vMerge/>
            <w:tcBorders>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b/>
              </w:rPr>
            </w:pPr>
            <w:r w:rsidRPr="001A371B">
              <w:rPr>
                <w:rFonts w:ascii="Times New Roman" w:hAnsi="Times New Roman" w:cs="Times New Roman"/>
                <w:b/>
                <w:lang w:val="en-US"/>
              </w:rPr>
              <w:lastRenderedPageBreak/>
              <w:t>c</w:t>
            </w:r>
            <w:r w:rsidRPr="001A371B">
              <w:rPr>
                <w:rFonts w:ascii="Times New Roman" w:hAnsi="Times New Roman" w:cs="Times New Roman"/>
                <w:b/>
              </w:rPr>
              <w:t>.</w:t>
            </w:r>
          </w:p>
        </w:tc>
        <w:tc>
          <w:tcPr>
            <w:tcW w:w="7752" w:type="dxa"/>
            <w:gridSpan w:val="3"/>
            <w:tcBorders>
              <w:top w:val="single" w:sz="4" w:space="0" w:color="auto"/>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b/>
              </w:rPr>
              <w:t>Lĩnh vực Mỹ thuật, Nhiếp ảnh và triển lãm:</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1.</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030918</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Triển lãm ảnh trong nước.</w:t>
            </w:r>
          </w:p>
        </w:tc>
        <w:tc>
          <w:tcPr>
            <w:tcW w:w="3819" w:type="dxa"/>
            <w:vMerge w:val="restart"/>
            <w:tcBorders>
              <w:top w:val="single" w:sz="4" w:space="0" w:color="auto"/>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xml:space="preserve">+ Thông tư số 17/2012/TT-BVHTTDL ngày 27/12/2012 của Bộ trưởng Bộ Văn hóa, Thể thao và Du lịch quy định về triển lãm, thi, liên hoan và sử dụng </w:t>
            </w:r>
            <w:r w:rsidRPr="001A371B">
              <w:rPr>
                <w:rFonts w:ascii="Times New Roman" w:hAnsi="Times New Roman" w:cs="Times New Roman"/>
              </w:rPr>
              <w:lastRenderedPageBreak/>
              <w:t>tác phẩm nhiếp ảnh. Có hiệu lực từ ngày 10 tháng 02 năm 2013.</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Quyết định số 1695/QĐ-BVHTTDL ngày 09 tháng 5 năm 2013 của Bộ trưởng Bộ Văn hóa, Thể thao và Du lịch về việc công bố thủ tục hành chính được sửa đổi, bổ sung trong lĩnh vực nhiếp ảnh thuộc phạm vi chức năng quản lý của Bộ Văn hóa, Thể thao và Du lịch. Có hiệu lực từ ngày 09 tháng 5 năm 2013.</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2.</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030921</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xml:space="preserve">Giấy phép thực hiện Triển lãm ảnh trong nước, tác giả </w:t>
            </w:r>
            <w:r w:rsidRPr="001A371B">
              <w:rPr>
                <w:rFonts w:ascii="Times New Roman" w:hAnsi="Times New Roman" w:cs="Times New Roman"/>
              </w:rPr>
              <w:lastRenderedPageBreak/>
              <w:t>là người nước ngoài.</w:t>
            </w:r>
          </w:p>
        </w:tc>
        <w:tc>
          <w:tcPr>
            <w:tcW w:w="3819" w:type="dxa"/>
            <w:vMerge/>
            <w:tcBorders>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lastRenderedPageBreak/>
              <w:t>3.</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030923</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Triển lãm Mỹ thuật</w:t>
            </w:r>
          </w:p>
        </w:tc>
        <w:tc>
          <w:tcPr>
            <w:tcW w:w="3819" w:type="dxa"/>
            <w:vMerge w:val="restart"/>
            <w:tcBorders>
              <w:top w:val="single" w:sz="4" w:space="0" w:color="auto"/>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Nghị định 113/2013/NĐ-CP ngày 02 tháng 10 năm 2013 về hoạt động Mỹ thuật. Có hiệu lực từ ngày 01 tháng 12 năm 2013.</w:t>
            </w:r>
          </w:p>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 Thông tư số 18/2013/TT-BVHTTDL ngày 30/12/2013 của Bộ trưởng Bộ Văn hóa, Thể thao và Du lịch quy định chi tiết thi hành một số điều tại Nghị định số 113/2013/NĐ-CP ngày 02 tháng 10 năm 2013 của Chính phủ về hoạt động mỹ thuật. Có hiệu lực từ ngày 18 tháng 02 năm 2014.</w:t>
            </w: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4.</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030927</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thực hiện Triển lãm Mỹ thuật (Tác giả là người nước ngoài)</w:t>
            </w:r>
          </w:p>
        </w:tc>
        <w:tc>
          <w:tcPr>
            <w:tcW w:w="3819" w:type="dxa"/>
            <w:vMerge/>
            <w:tcBorders>
              <w:left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r w:rsidR="00485E95" w:rsidRPr="001A371B" w:rsidTr="00F111E2">
        <w:tblPrEx>
          <w:tblCellMar>
            <w:top w:w="0" w:type="dxa"/>
            <w:bottom w:w="0" w:type="dxa"/>
          </w:tblCellMar>
        </w:tblPrEx>
        <w:trPr>
          <w:trHeight w:val="20"/>
        </w:trPr>
        <w:tc>
          <w:tcPr>
            <w:tcW w:w="599"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5.</w:t>
            </w:r>
          </w:p>
        </w:tc>
        <w:tc>
          <w:tcPr>
            <w:tcW w:w="1083"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jc w:val="center"/>
              <w:rPr>
                <w:rFonts w:ascii="Times New Roman" w:hAnsi="Times New Roman" w:cs="Times New Roman"/>
              </w:rPr>
            </w:pPr>
            <w:r w:rsidRPr="001A371B">
              <w:rPr>
                <w:rFonts w:ascii="Times New Roman" w:hAnsi="Times New Roman" w:cs="Times New Roman"/>
              </w:rPr>
              <w:t>031145</w:t>
            </w:r>
          </w:p>
        </w:tc>
        <w:tc>
          <w:tcPr>
            <w:tcW w:w="2850" w:type="dxa"/>
            <w:tcBorders>
              <w:top w:val="single" w:sz="4" w:space="0" w:color="auto"/>
              <w:left w:val="single" w:sz="4" w:space="0" w:color="auto"/>
              <w:bottom w:val="single" w:sz="4" w:space="0" w:color="auto"/>
              <w:right w:val="nil"/>
            </w:tcBorders>
            <w:shd w:val="clear" w:color="auto" w:fill="FFFFFF"/>
          </w:tcPr>
          <w:p w:rsidR="00485E95" w:rsidRPr="001A371B" w:rsidRDefault="00485E95" w:rsidP="001A371B">
            <w:pPr>
              <w:spacing w:before="120" w:line="360" w:lineRule="auto"/>
              <w:rPr>
                <w:rFonts w:ascii="Times New Roman" w:hAnsi="Times New Roman" w:cs="Times New Roman"/>
              </w:rPr>
            </w:pPr>
            <w:r w:rsidRPr="001A371B">
              <w:rPr>
                <w:rFonts w:ascii="Times New Roman" w:hAnsi="Times New Roman" w:cs="Times New Roman"/>
              </w:rPr>
              <w:t>Giấy phép xây dựng tượng đài, tranh hoành tráng (Phần mỹ thuật)</w:t>
            </w:r>
          </w:p>
        </w:tc>
        <w:tc>
          <w:tcPr>
            <w:tcW w:w="3819" w:type="dxa"/>
            <w:vMerge/>
            <w:tcBorders>
              <w:left w:val="single" w:sz="4" w:space="0" w:color="auto"/>
              <w:bottom w:val="single" w:sz="4" w:space="0" w:color="auto"/>
              <w:right w:val="single" w:sz="4" w:space="0" w:color="auto"/>
            </w:tcBorders>
            <w:shd w:val="clear" w:color="auto" w:fill="FFFFFF"/>
          </w:tcPr>
          <w:p w:rsidR="00485E95" w:rsidRPr="001A371B" w:rsidRDefault="00485E95" w:rsidP="001A371B">
            <w:pPr>
              <w:spacing w:before="120" w:line="360" w:lineRule="auto"/>
              <w:rPr>
                <w:rFonts w:ascii="Times New Roman" w:hAnsi="Times New Roman" w:cs="Times New Roman"/>
              </w:rPr>
            </w:pPr>
          </w:p>
        </w:tc>
      </w:tr>
    </w:tbl>
    <w:p w:rsidR="00485E95" w:rsidRPr="001A371B" w:rsidRDefault="00485E95" w:rsidP="001A371B">
      <w:pPr>
        <w:spacing w:before="120" w:line="360" w:lineRule="auto"/>
        <w:jc w:val="right"/>
        <w:rPr>
          <w:rFonts w:ascii="Times New Roman" w:hAnsi="Times New Roman" w:cs="Times New Roman"/>
          <w:b/>
          <w:lang w:val="en-US"/>
        </w:rPr>
      </w:pPr>
      <w:r w:rsidRPr="001A371B">
        <w:rPr>
          <w:rFonts w:ascii="Times New Roman" w:hAnsi="Times New Roman" w:cs="Times New Roman"/>
          <w:b/>
          <w:lang w:val="en-US"/>
        </w:rPr>
        <w:t>ỦY BAN NHÂN DÂN THÀNH PHỐ</w:t>
      </w:r>
    </w:p>
    <w:p w:rsidR="00485E95" w:rsidRPr="001A371B" w:rsidRDefault="00485E95" w:rsidP="001A371B">
      <w:pPr>
        <w:spacing w:before="120" w:line="360" w:lineRule="auto"/>
        <w:jc w:val="right"/>
        <w:rPr>
          <w:rFonts w:ascii="Times New Roman" w:hAnsi="Times New Roman" w:cs="Times New Roman"/>
          <w:b/>
          <w:lang w:val="en-US"/>
        </w:rPr>
      </w:pPr>
    </w:p>
    <w:tbl>
      <w:tblPr>
        <w:tblStyle w:val="TableGrid"/>
        <w:tblW w:w="0" w:type="auto"/>
        <w:jc w:val="center"/>
        <w:tblInd w:w="0" w:type="dxa"/>
        <w:tblLook w:val="01E0" w:firstRow="1" w:lastRow="1" w:firstColumn="1" w:lastColumn="1" w:noHBand="0" w:noVBand="0"/>
      </w:tblPr>
      <w:tblGrid>
        <w:gridCol w:w="5868"/>
      </w:tblGrid>
      <w:tr w:rsidR="00485E95" w:rsidRPr="001A371B" w:rsidTr="00F111E2">
        <w:trPr>
          <w:jc w:val="center"/>
        </w:trPr>
        <w:tc>
          <w:tcPr>
            <w:tcW w:w="5868" w:type="dxa"/>
          </w:tcPr>
          <w:p w:rsidR="00485E95" w:rsidRPr="001A371B" w:rsidRDefault="00485E95" w:rsidP="001A371B">
            <w:pPr>
              <w:spacing w:after="120" w:line="360" w:lineRule="auto"/>
              <w:jc w:val="center"/>
              <w:rPr>
                <w:rFonts w:ascii="Times New Roman" w:hAnsi="Times New Roman" w:cs="Times New Roman"/>
                <w:b/>
                <w:color w:val="FF0000"/>
                <w:lang w:val="nb-NO"/>
              </w:rPr>
            </w:pPr>
          </w:p>
          <w:p w:rsidR="00485E95" w:rsidRPr="001A371B" w:rsidRDefault="00485E95" w:rsidP="001A371B">
            <w:pPr>
              <w:spacing w:after="120" w:line="360" w:lineRule="auto"/>
              <w:jc w:val="center"/>
              <w:rPr>
                <w:rFonts w:ascii="Times New Roman" w:hAnsi="Times New Roman" w:cs="Times New Roman"/>
                <w:b/>
                <w:color w:val="FF0000"/>
                <w:lang w:val="nb-NO"/>
              </w:rPr>
            </w:pPr>
            <w:r w:rsidRPr="001A371B">
              <w:rPr>
                <w:rFonts w:ascii="Times New Roman" w:hAnsi="Times New Roman" w:cs="Times New Roman"/>
                <w:b/>
                <w:color w:val="FF0000"/>
                <w:lang w:val="nb-NO"/>
              </w:rPr>
              <w:t>FILE ĐƯỢC ĐÍNH KÈM THEO VĂN BẢN</w:t>
            </w:r>
          </w:p>
          <w:p w:rsidR="00485E95" w:rsidRPr="001A371B" w:rsidRDefault="00485E95" w:rsidP="001A371B">
            <w:pPr>
              <w:spacing w:after="120" w:line="360" w:lineRule="auto"/>
              <w:jc w:val="center"/>
              <w:rPr>
                <w:rFonts w:ascii="Times New Roman" w:hAnsi="Times New Roman" w:cs="Times New Roman"/>
                <w:b/>
                <w:color w:val="FF0000"/>
                <w:lang w:val="nb-NO"/>
              </w:rPr>
            </w:pPr>
            <w:r w:rsidRPr="001A371B">
              <w:rPr>
                <w:rFonts w:ascii="Times New Roman" w:hAnsi="Times New Roman" w:cs="Times New Roman"/>
                <w:b/>
                <w:color w:val="FF0000"/>
                <w:lang w:val="nb-NO"/>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Package" ShapeID="_x0000_i1025" DrawAspect="Icon" ObjectID="_1506583663" r:id="rId5"/>
              </w:object>
            </w:r>
          </w:p>
        </w:tc>
      </w:tr>
    </w:tbl>
    <w:p w:rsidR="00485E95" w:rsidRPr="001A371B" w:rsidRDefault="00485E95" w:rsidP="001A371B">
      <w:pPr>
        <w:spacing w:before="120" w:line="360" w:lineRule="auto"/>
        <w:rPr>
          <w:rFonts w:ascii="Times New Roman" w:hAnsi="Times New Roman" w:cs="Times New Roman"/>
          <w:b/>
          <w:lang w:val="nb-NO"/>
        </w:rPr>
      </w:pPr>
    </w:p>
    <w:p w:rsidR="00485E95" w:rsidRPr="001A371B" w:rsidRDefault="00485E95" w:rsidP="001A371B">
      <w:pPr>
        <w:spacing w:before="120" w:line="360" w:lineRule="auto"/>
        <w:rPr>
          <w:rFonts w:ascii="Times New Roman" w:hAnsi="Times New Roman" w:cs="Times New Roman"/>
          <w:b/>
          <w:lang w:val="nb-NO"/>
        </w:rPr>
      </w:pPr>
    </w:p>
    <w:p w:rsidR="001D3F69" w:rsidRPr="001A371B" w:rsidRDefault="00C60BE0" w:rsidP="001A371B">
      <w:pPr>
        <w:spacing w:line="360" w:lineRule="auto"/>
        <w:rPr>
          <w:rFonts w:ascii="Times New Roman" w:hAnsi="Times New Roman" w:cs="Times New Roman"/>
        </w:rPr>
      </w:pPr>
    </w:p>
    <w:sectPr w:rsidR="001D3F69" w:rsidRPr="001A371B" w:rsidSect="004A60EB">
      <w:headerReference w:type="default" r:id="rId6"/>
      <w:footerReference w:type="default" r:id="rId7"/>
      <w:pgSz w:w="11909" w:h="16834" w:code="9"/>
      <w:pgMar w:top="1440" w:right="1800" w:bottom="1440" w:left="1800" w:header="0" w:footer="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BCE" w:rsidRPr="00A67571" w:rsidRDefault="00C60BE0" w:rsidP="00BB3BCE">
    <w:pPr>
      <w:pStyle w:val="Footer"/>
      <w:rPr>
        <w:rFonts w:ascii="Times New Roman" w:hAnsi="Times New Roman"/>
      </w:rPr>
    </w:pPr>
    <w:r w:rsidRPr="00A67571">
      <w:rPr>
        <w:rFonts w:ascii="Times New Roman" w:hAnsi="Times New Roman"/>
        <w:b/>
        <w:color w:val="FF0000"/>
      </w:rPr>
      <w:t xml:space="preserve">TỔNG ĐÀI TƯ VẤN PHÁP LUẬT TRỰC TUYẾN </w:t>
    </w:r>
    <w:r>
      <w:rPr>
        <w:rFonts w:ascii="Times New Roman" w:hAnsi="Times New Roman"/>
        <w:b/>
        <w:color w:val="FF0000"/>
      </w:rPr>
      <w:t xml:space="preserve">24/7: </w:t>
    </w:r>
    <w:r>
      <w:rPr>
        <w:rFonts w:ascii="Times New Roman" w:hAnsi="Times New Roman"/>
        <w:b/>
        <w:color w:val="FF0000"/>
      </w:rPr>
      <w:t>1900.6568</w:t>
    </w:r>
  </w:p>
  <w:p w:rsidR="00BB3BCE" w:rsidRDefault="00C60BE0">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70" w:type="dxa"/>
      <w:tblInd w:w="-318" w:type="dxa"/>
      <w:tblBorders>
        <w:bottom w:val="single" w:sz="4" w:space="0" w:color="auto"/>
      </w:tblBorders>
      <w:tblLayout w:type="fixed"/>
      <w:tblLook w:val="04A0" w:firstRow="1" w:lastRow="0" w:firstColumn="1" w:lastColumn="0" w:noHBand="0" w:noVBand="1"/>
    </w:tblPr>
    <w:tblGrid>
      <w:gridCol w:w="2412"/>
      <w:gridCol w:w="8358"/>
    </w:tblGrid>
    <w:tr w:rsidR="00BB3BCE" w:rsidRPr="00A67571" w:rsidTr="00F111E2">
      <w:trPr>
        <w:trHeight w:val="1208"/>
      </w:trPr>
      <w:tc>
        <w:tcPr>
          <w:tcW w:w="2411" w:type="dxa"/>
          <w:tcBorders>
            <w:top w:val="nil"/>
            <w:left w:val="nil"/>
            <w:bottom w:val="single" w:sz="4" w:space="0" w:color="auto"/>
            <w:right w:val="nil"/>
          </w:tcBorders>
          <w:vAlign w:val="center"/>
          <w:hideMark/>
        </w:tcPr>
        <w:p w:rsidR="00BB3BCE" w:rsidRPr="00A67571" w:rsidRDefault="00C60BE0" w:rsidP="00BB3BCE">
          <w:pPr>
            <w:rPr>
              <w:rFonts w:ascii="Times New Roman" w:hAnsi="Times New Roman"/>
              <w:b/>
              <w:sz w:val="20"/>
            </w:rPr>
          </w:pPr>
          <w:r w:rsidRPr="00A67571">
            <w:rPr>
              <w:rFonts w:ascii="Times New Roman" w:hAnsi="Times New Roman"/>
              <w:b/>
              <w:sz w:val="20"/>
            </w:rPr>
            <w:t xml:space="preserve">        </w:t>
          </w:r>
          <w:r w:rsidR="00485E95" w:rsidRPr="004D651E">
            <w:rPr>
              <w:rFonts w:ascii="Times New Roman" w:hAnsi="Times New Roman"/>
              <w:b/>
              <w:noProof/>
              <w:sz w:val="20"/>
              <w:lang w:val="en-US" w:eastAsia="en-US"/>
            </w:rPr>
            <w:drawing>
              <wp:inline distT="0" distB="0" distL="0" distR="0">
                <wp:extent cx="1428750" cy="866775"/>
                <wp:effectExtent l="0" t="0" r="0" b="9525"/>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66775"/>
                        </a:xfrm>
                        <a:prstGeom prst="rect">
                          <a:avLst/>
                        </a:prstGeom>
                        <a:noFill/>
                        <a:ln>
                          <a:noFill/>
                        </a:ln>
                      </pic:spPr>
                    </pic:pic>
                  </a:graphicData>
                </a:graphic>
              </wp:inline>
            </w:drawing>
          </w:r>
          <w:r w:rsidRPr="00A67571">
            <w:rPr>
              <w:rFonts w:ascii="Times New Roman" w:hAnsi="Times New Roman"/>
              <w:b/>
              <w:sz w:val="20"/>
            </w:rPr>
            <w:t xml:space="preserve">                                                                                                                                                                                                                                         </w:t>
          </w:r>
          <w:r w:rsidRPr="00A67571">
            <w:rPr>
              <w:rFonts w:ascii="Times New Roman" w:hAnsi="Times New Roman"/>
              <w:b/>
              <w:sz w:val="20"/>
            </w:rPr>
            <w:t xml:space="preserve">                                                                                                                                                                                                                                                     </w:t>
          </w:r>
        </w:p>
      </w:tc>
      <w:tc>
        <w:tcPr>
          <w:tcW w:w="8356" w:type="dxa"/>
          <w:tcBorders>
            <w:top w:val="nil"/>
            <w:left w:val="nil"/>
            <w:bottom w:val="single" w:sz="4" w:space="0" w:color="auto"/>
            <w:right w:val="nil"/>
          </w:tcBorders>
          <w:vAlign w:val="center"/>
          <w:hideMark/>
        </w:tcPr>
        <w:p w:rsidR="00BB3BCE" w:rsidRPr="00A67571" w:rsidRDefault="00C60BE0" w:rsidP="00BB3BCE">
          <w:pPr>
            <w:pStyle w:val="Heading6"/>
            <w:spacing w:before="0"/>
            <w:rPr>
              <w:rFonts w:ascii="Times New Roman" w:hAnsi="Times New Roman"/>
              <w:sz w:val="20"/>
            </w:rPr>
          </w:pPr>
          <w:r w:rsidRPr="00A67571">
            <w:rPr>
              <w:rFonts w:ascii="Times New Roman" w:hAnsi="Times New Roman"/>
              <w:sz w:val="20"/>
            </w:rPr>
            <w:t xml:space="preserve">CÔNG TY </w:t>
          </w:r>
          <w:r>
            <w:rPr>
              <w:rFonts w:ascii="Times New Roman" w:hAnsi="Times New Roman"/>
              <w:sz w:val="20"/>
            </w:rPr>
            <w:t>LU</w:t>
          </w:r>
          <w:r>
            <w:rPr>
              <w:rFonts w:ascii="Times New Roman" w:hAnsi="Times New Roman"/>
              <w:sz w:val="20"/>
            </w:rPr>
            <w:t>ẬT TNHH DƯƠNG GIA</w:t>
          </w:r>
          <w:r w:rsidRPr="00A67571">
            <w:rPr>
              <w:rFonts w:ascii="Times New Roman" w:hAnsi="Times New Roman"/>
              <w:sz w:val="20"/>
            </w:rPr>
            <w:t xml:space="preserve"> –</w:t>
          </w:r>
          <w:r>
            <w:rPr>
              <w:rFonts w:ascii="Times New Roman" w:hAnsi="Times New Roman"/>
              <w:sz w:val="20"/>
            </w:rPr>
            <w:t xml:space="preserve"> DUONG GIA LAW </w:t>
          </w:r>
          <w:r w:rsidRPr="00A67571">
            <w:rPr>
              <w:rFonts w:ascii="Times New Roman" w:hAnsi="Times New Roman"/>
              <w:sz w:val="20"/>
            </w:rPr>
            <w:t xml:space="preserve">COMPANY LIMITED </w:t>
          </w:r>
        </w:p>
        <w:p w:rsidR="00BB3BCE" w:rsidRPr="00A67571" w:rsidRDefault="00C60BE0" w:rsidP="00BB3BCE">
          <w:pPr>
            <w:rPr>
              <w:rFonts w:ascii="Times New Roman" w:hAnsi="Times New Roman"/>
              <w:sz w:val="20"/>
            </w:rPr>
          </w:pPr>
          <w:r w:rsidRPr="00A67571">
            <w:rPr>
              <w:rFonts w:ascii="Times New Roman" w:hAnsi="Times New Roman"/>
              <w:sz w:val="20"/>
            </w:rPr>
            <w:t>No 2305, VNT Tower, 19  Nguyen Trai Street, Thanh Xuan District, Hanoi City, Viet Nam</w:t>
          </w:r>
        </w:p>
        <w:p w:rsidR="00BB3BCE" w:rsidRPr="00A67571" w:rsidRDefault="00C60BE0" w:rsidP="00BB3BCE">
          <w:pPr>
            <w:rPr>
              <w:rFonts w:ascii="Times New Roman" w:hAnsi="Times New Roman"/>
              <w:sz w:val="20"/>
            </w:rPr>
          </w:pPr>
          <w:r w:rsidRPr="00A67571">
            <w:rPr>
              <w:rFonts w:ascii="Times New Roman" w:hAnsi="Times New Roman"/>
              <w:sz w:val="20"/>
            </w:rPr>
            <w:t>Tel:</w:t>
          </w:r>
          <w:r>
            <w:rPr>
              <w:rFonts w:ascii="Times New Roman" w:hAnsi="Times New Roman"/>
              <w:sz w:val="20"/>
            </w:rPr>
            <w:t xml:space="preserve">   1900.6568      </w:t>
          </w:r>
          <w:r w:rsidRPr="00A67571">
            <w:rPr>
              <w:rFonts w:ascii="Times New Roman" w:hAnsi="Times New Roman"/>
              <w:sz w:val="20"/>
            </w:rPr>
            <w:t xml:space="preserve">  Fax: 04.3562.7716</w:t>
          </w:r>
        </w:p>
        <w:p w:rsidR="00BB3BCE" w:rsidRPr="00A67571" w:rsidRDefault="00C60BE0" w:rsidP="00BB3BCE">
          <w:pPr>
            <w:rPr>
              <w:rFonts w:ascii="Times New Roman" w:hAnsi="Times New Roman"/>
              <w:sz w:val="20"/>
            </w:rPr>
          </w:pPr>
          <w:r w:rsidRPr="00A67571">
            <w:rPr>
              <w:rFonts w:ascii="Times New Roman" w:hAnsi="Times New Roman"/>
              <w:sz w:val="20"/>
            </w:rPr>
            <w:t xml:space="preserve">Email: </w:t>
          </w:r>
          <w:hyperlink r:id="rId2" w:history="1">
            <w:r w:rsidRPr="00776A8D">
              <w:rPr>
                <w:rStyle w:val="Hyperlink"/>
                <w:rFonts w:ascii="Times New Roman" w:hAnsi="Times New Roman"/>
                <w:sz w:val="20"/>
              </w:rPr>
              <w:t>lienhe@luatduonggia.vn</w:t>
            </w:r>
          </w:hyperlink>
          <w:r w:rsidRPr="00A67571">
            <w:rPr>
              <w:rFonts w:ascii="Times New Roman" w:hAnsi="Times New Roman"/>
              <w:sz w:val="20"/>
            </w:rPr>
            <w:t xml:space="preserve">  </w:t>
          </w:r>
          <w:r w:rsidRPr="00A67571">
            <w:rPr>
              <w:rFonts w:ascii="Times New Roman" w:hAnsi="Times New Roman"/>
              <w:sz w:val="20"/>
            </w:rPr>
            <w:t xml:space="preserve">  Website: </w:t>
          </w:r>
          <w:hyperlink r:id="rId3" w:history="1">
            <w:r w:rsidRPr="00B330C7">
              <w:rPr>
                <w:rStyle w:val="Hyperlink"/>
                <w:rFonts w:ascii="Times New Roman" w:hAnsi="Times New Roman"/>
                <w:sz w:val="20"/>
              </w:rPr>
              <w:t>http://www.luatduonggia.vn</w:t>
            </w:r>
          </w:hyperlink>
        </w:p>
      </w:tc>
    </w:tr>
  </w:tbl>
  <w:p w:rsidR="00BB3BCE" w:rsidRDefault="00C60B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E95"/>
    <w:rsid w:val="001A371B"/>
    <w:rsid w:val="00485E95"/>
    <w:rsid w:val="006F604E"/>
    <w:rsid w:val="00C60BE0"/>
    <w:rsid w:val="00D07495"/>
    <w:rsid w:val="00D6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8D884A-2ED0-4485-818B-80AA554E0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E95"/>
    <w:pPr>
      <w:widowControl w:val="0"/>
      <w:spacing w:after="0" w:line="240" w:lineRule="auto"/>
    </w:pPr>
    <w:rPr>
      <w:rFonts w:ascii="Courier New" w:eastAsia="Times New Roman" w:hAnsi="Courier New" w:cs="Courier New"/>
      <w:color w:val="000000"/>
      <w:sz w:val="24"/>
      <w:szCs w:val="24"/>
      <w:lang w:val="vi-VN" w:eastAsia="vi-VN"/>
    </w:rPr>
  </w:style>
  <w:style w:type="paragraph" w:styleId="Heading6">
    <w:name w:val="heading 6"/>
    <w:basedOn w:val="Normal"/>
    <w:next w:val="Normal"/>
    <w:link w:val="Heading6Char"/>
    <w:semiHidden/>
    <w:unhideWhenUsed/>
    <w:qFormat/>
    <w:rsid w:val="00485E95"/>
    <w:pPr>
      <w:widowControl/>
      <w:spacing w:before="240" w:after="60"/>
      <w:outlineLvl w:val="5"/>
    </w:pPr>
    <w:rPr>
      <w:rFonts w:ascii="Calibri" w:hAnsi="Calibri" w:cs="Times New Roman"/>
      <w:b/>
      <w:bCs/>
      <w:color w:val="auto"/>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semiHidden/>
    <w:rsid w:val="00485E95"/>
    <w:rPr>
      <w:rFonts w:ascii="Calibri" w:eastAsia="Times New Roman" w:hAnsi="Calibri" w:cs="Times New Roman"/>
      <w:b/>
      <w:bCs/>
    </w:rPr>
  </w:style>
  <w:style w:type="character" w:styleId="Hyperlink">
    <w:name w:val="Hyperlink"/>
    <w:basedOn w:val="DefaultParagraphFont"/>
    <w:rsid w:val="00485E95"/>
    <w:rPr>
      <w:color w:val="auto"/>
      <w:u w:val="single"/>
    </w:rPr>
  </w:style>
  <w:style w:type="paragraph" w:styleId="Header">
    <w:name w:val="header"/>
    <w:basedOn w:val="Normal"/>
    <w:link w:val="HeaderChar"/>
    <w:rsid w:val="00485E95"/>
    <w:pPr>
      <w:tabs>
        <w:tab w:val="center" w:pos="4320"/>
        <w:tab w:val="right" w:pos="8640"/>
      </w:tabs>
    </w:pPr>
  </w:style>
  <w:style w:type="character" w:customStyle="1" w:styleId="HeaderChar">
    <w:name w:val="Header Char"/>
    <w:basedOn w:val="DefaultParagraphFont"/>
    <w:link w:val="Header"/>
    <w:rsid w:val="00485E95"/>
    <w:rPr>
      <w:rFonts w:ascii="Courier New" w:eastAsia="Times New Roman" w:hAnsi="Courier New" w:cs="Courier New"/>
      <w:color w:val="000000"/>
      <w:sz w:val="24"/>
      <w:szCs w:val="24"/>
      <w:lang w:val="vi-VN" w:eastAsia="vi-VN"/>
    </w:rPr>
  </w:style>
  <w:style w:type="paragraph" w:styleId="Footer">
    <w:name w:val="footer"/>
    <w:basedOn w:val="Normal"/>
    <w:link w:val="FooterChar"/>
    <w:uiPriority w:val="99"/>
    <w:rsid w:val="00485E95"/>
    <w:pPr>
      <w:tabs>
        <w:tab w:val="center" w:pos="4320"/>
        <w:tab w:val="right" w:pos="8640"/>
      </w:tabs>
    </w:pPr>
  </w:style>
  <w:style w:type="character" w:customStyle="1" w:styleId="FooterChar">
    <w:name w:val="Footer Char"/>
    <w:basedOn w:val="DefaultParagraphFont"/>
    <w:link w:val="Footer"/>
    <w:uiPriority w:val="99"/>
    <w:rsid w:val="00485E95"/>
    <w:rPr>
      <w:rFonts w:ascii="Courier New" w:eastAsia="Times New Roman" w:hAnsi="Courier New" w:cs="Courier New"/>
      <w:color w:val="000000"/>
      <w:sz w:val="24"/>
      <w:szCs w:val="24"/>
      <w:lang w:val="vi-VN" w:eastAsia="vi-VN"/>
    </w:rPr>
  </w:style>
  <w:style w:type="paragraph" w:customStyle="1" w:styleId="CharCharCharCharCharCharChar">
    <w:name w:val=" Char Char Char Char Char Char Char"/>
    <w:autoRedefine/>
    <w:rsid w:val="00485E95"/>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rsid w:val="00485E95"/>
    <w:pPr>
      <w:spacing w:after="0" w:line="240" w:lineRule="auto"/>
    </w:pPr>
    <w:rPr>
      <w:rFonts w:ascii="Courier New" w:eastAsia="Courier New" w:hAnsi="Courier Ne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luatduonggia.vn" TargetMode="External"/><Relationship Id="rId2" Type="http://schemas.openxmlformats.org/officeDocument/2006/relationships/hyperlink" Target="mailto:lienhe@luatduonggia.vn"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2742</Words>
  <Characters>15630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2015-10-17T02:20:00Z</dcterms:created>
  <dcterms:modified xsi:type="dcterms:W3CDTF">2015-10-17T03:41:00Z</dcterms:modified>
</cp:coreProperties>
</file>