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3" w:type="dxa"/>
        <w:tblCellSpacing w:w="0" w:type="dxa"/>
        <w:shd w:val="clear" w:color="auto" w:fill="FFFFFF"/>
        <w:tblCellMar>
          <w:left w:w="0" w:type="dxa"/>
          <w:right w:w="0" w:type="dxa"/>
        </w:tblCellMar>
        <w:tblLook w:val="04A0" w:firstRow="1" w:lastRow="0" w:firstColumn="1" w:lastColumn="0" w:noHBand="0" w:noVBand="1"/>
      </w:tblPr>
      <w:tblGrid>
        <w:gridCol w:w="3842"/>
        <w:gridCol w:w="6321"/>
      </w:tblGrid>
      <w:tr w:rsidR="00B625C8" w:rsidRPr="00B625C8" w:rsidTr="00B625C8">
        <w:trPr>
          <w:trHeight w:val="1387"/>
          <w:tblCellSpacing w:w="0" w:type="dxa"/>
        </w:trPr>
        <w:tc>
          <w:tcPr>
            <w:tcW w:w="3842" w:type="dxa"/>
            <w:shd w:val="clear" w:color="auto" w:fill="FFFFFF"/>
            <w:tcMar>
              <w:top w:w="0" w:type="dxa"/>
              <w:left w:w="108" w:type="dxa"/>
              <w:bottom w:w="0" w:type="dxa"/>
              <w:right w:w="108" w:type="dxa"/>
            </w:tcMar>
            <w:hideMark/>
          </w:tcPr>
          <w:p w:rsidR="00B625C8" w:rsidRPr="00B625C8" w:rsidRDefault="00B625C8" w:rsidP="00B625C8">
            <w:pPr>
              <w:pStyle w:val="NormalWeb"/>
              <w:spacing w:before="120" w:beforeAutospacing="0" w:after="0" w:afterAutospacing="0" w:line="360" w:lineRule="auto"/>
              <w:jc w:val="center"/>
              <w:rPr>
                <w:color w:val="000000"/>
              </w:rPr>
            </w:pPr>
            <w:r w:rsidRPr="00B625C8">
              <w:rPr>
                <w:b/>
                <w:bCs/>
                <w:color w:val="000000"/>
              </w:rPr>
              <w:t>ỦY BAN NHÂN DÂN</w:t>
            </w:r>
            <w:r w:rsidRPr="00B625C8">
              <w:rPr>
                <w:b/>
                <w:bCs/>
                <w:color w:val="000000"/>
              </w:rPr>
              <w:br/>
              <w:t>THÀNH PHỐ HÀ NỘI</w:t>
            </w:r>
            <w:r w:rsidRPr="00B625C8">
              <w:rPr>
                <w:b/>
                <w:bCs/>
                <w:color w:val="000000"/>
              </w:rPr>
              <w:br/>
              <w:t>-------</w:t>
            </w:r>
          </w:p>
        </w:tc>
        <w:tc>
          <w:tcPr>
            <w:tcW w:w="6321" w:type="dxa"/>
            <w:shd w:val="clear" w:color="auto" w:fill="FFFFFF"/>
            <w:tcMar>
              <w:top w:w="0" w:type="dxa"/>
              <w:left w:w="108" w:type="dxa"/>
              <w:bottom w:w="0" w:type="dxa"/>
              <w:right w:w="108" w:type="dxa"/>
            </w:tcMar>
            <w:hideMark/>
          </w:tcPr>
          <w:p w:rsidR="00B625C8" w:rsidRPr="00B625C8" w:rsidRDefault="00B625C8" w:rsidP="00B625C8">
            <w:pPr>
              <w:pStyle w:val="NormalWeb"/>
              <w:spacing w:before="120" w:beforeAutospacing="0" w:after="0" w:afterAutospacing="0" w:line="360" w:lineRule="auto"/>
              <w:jc w:val="center"/>
              <w:rPr>
                <w:color w:val="000000"/>
              </w:rPr>
            </w:pPr>
            <w:r w:rsidRPr="00B625C8">
              <w:rPr>
                <w:b/>
                <w:bCs/>
                <w:color w:val="000000"/>
              </w:rPr>
              <w:t>CỘNG HÒA XÃ HỘI CHỦ NGHĨA VIỆT NAM</w:t>
            </w:r>
            <w:r w:rsidRPr="00B625C8">
              <w:rPr>
                <w:b/>
                <w:bCs/>
                <w:color w:val="000000"/>
              </w:rPr>
              <w:br/>
              <w:t>Độc lập - Tự do - Hạnh phúc</w:t>
            </w:r>
            <w:r w:rsidRPr="00B625C8">
              <w:rPr>
                <w:rStyle w:val="apple-converted-space"/>
                <w:b/>
                <w:bCs/>
                <w:color w:val="000000"/>
              </w:rPr>
              <w:t> </w:t>
            </w:r>
            <w:r w:rsidRPr="00B625C8">
              <w:rPr>
                <w:b/>
                <w:bCs/>
                <w:color w:val="000000"/>
              </w:rPr>
              <w:br/>
              <w:t>---------------</w:t>
            </w:r>
          </w:p>
        </w:tc>
      </w:tr>
      <w:tr w:rsidR="00B625C8" w:rsidRPr="00B625C8" w:rsidTr="00B625C8">
        <w:trPr>
          <w:trHeight w:val="533"/>
          <w:tblCellSpacing w:w="0" w:type="dxa"/>
        </w:trPr>
        <w:tc>
          <w:tcPr>
            <w:tcW w:w="3842" w:type="dxa"/>
            <w:shd w:val="clear" w:color="auto" w:fill="FFFFFF"/>
            <w:tcMar>
              <w:top w:w="0" w:type="dxa"/>
              <w:left w:w="108" w:type="dxa"/>
              <w:bottom w:w="0" w:type="dxa"/>
              <w:right w:w="108" w:type="dxa"/>
            </w:tcMar>
            <w:hideMark/>
          </w:tcPr>
          <w:p w:rsidR="00B625C8" w:rsidRPr="00B625C8" w:rsidRDefault="00B625C8" w:rsidP="00B625C8">
            <w:pPr>
              <w:pStyle w:val="NormalWeb"/>
              <w:spacing w:before="120" w:beforeAutospacing="0" w:after="0" w:afterAutospacing="0" w:line="360" w:lineRule="auto"/>
              <w:jc w:val="center"/>
              <w:rPr>
                <w:color w:val="000000"/>
              </w:rPr>
            </w:pPr>
            <w:r w:rsidRPr="00B625C8">
              <w:rPr>
                <w:color w:val="000000"/>
              </w:rPr>
              <w:t>Số:</w:t>
            </w:r>
            <w:r w:rsidRPr="00B625C8">
              <w:rPr>
                <w:rStyle w:val="apple-converted-space"/>
                <w:color w:val="000000"/>
              </w:rPr>
              <w:t> </w:t>
            </w:r>
            <w:bookmarkStart w:id="0" w:name="_GoBack"/>
            <w:r w:rsidRPr="00B625C8">
              <w:rPr>
                <w:color w:val="000000"/>
              </w:rPr>
              <w:t>62/2014/QĐ-UBND</w:t>
            </w:r>
            <w:bookmarkEnd w:id="0"/>
          </w:p>
        </w:tc>
        <w:tc>
          <w:tcPr>
            <w:tcW w:w="6321" w:type="dxa"/>
            <w:shd w:val="clear" w:color="auto" w:fill="FFFFFF"/>
            <w:tcMar>
              <w:top w:w="0" w:type="dxa"/>
              <w:left w:w="108" w:type="dxa"/>
              <w:bottom w:w="0" w:type="dxa"/>
              <w:right w:w="108" w:type="dxa"/>
            </w:tcMar>
            <w:hideMark/>
          </w:tcPr>
          <w:p w:rsidR="00B625C8" w:rsidRPr="00B625C8" w:rsidRDefault="00B625C8" w:rsidP="00B625C8">
            <w:pPr>
              <w:pStyle w:val="NormalWeb"/>
              <w:spacing w:before="120" w:beforeAutospacing="0" w:after="0" w:afterAutospacing="0" w:line="360" w:lineRule="auto"/>
              <w:jc w:val="right"/>
              <w:rPr>
                <w:color w:val="000000"/>
              </w:rPr>
            </w:pPr>
            <w:r w:rsidRPr="00B625C8">
              <w:rPr>
                <w:i/>
                <w:iCs/>
                <w:color w:val="000000"/>
              </w:rPr>
              <w:t>Hà Nội, ngày 20 tháng 08 năm 2014</w:t>
            </w:r>
          </w:p>
        </w:tc>
      </w:tr>
    </w:tbl>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 </w:t>
      </w:r>
    </w:p>
    <w:p w:rsidR="00B625C8" w:rsidRPr="00B625C8" w:rsidRDefault="00B625C8" w:rsidP="00B625C8">
      <w:pPr>
        <w:pStyle w:val="NormalWeb"/>
        <w:shd w:val="clear" w:color="auto" w:fill="FFFFFF"/>
        <w:spacing w:before="120" w:beforeAutospacing="0" w:after="0" w:afterAutospacing="0" w:line="360" w:lineRule="auto"/>
        <w:jc w:val="center"/>
        <w:rPr>
          <w:color w:val="000000"/>
        </w:rPr>
      </w:pPr>
      <w:r w:rsidRPr="00B625C8">
        <w:rPr>
          <w:b/>
          <w:bCs/>
          <w:color w:val="000000"/>
        </w:rPr>
        <w:t>QUYẾT ĐỊNH</w:t>
      </w:r>
    </w:p>
    <w:p w:rsidR="00B625C8" w:rsidRPr="00B625C8" w:rsidRDefault="00B625C8" w:rsidP="00B625C8">
      <w:pPr>
        <w:pStyle w:val="NormalWeb"/>
        <w:shd w:val="clear" w:color="auto" w:fill="FFFFFF"/>
        <w:spacing w:before="120" w:beforeAutospacing="0" w:after="0" w:afterAutospacing="0" w:line="360" w:lineRule="auto"/>
        <w:jc w:val="center"/>
        <w:rPr>
          <w:color w:val="000000"/>
        </w:rPr>
      </w:pPr>
      <w:r w:rsidRPr="00B625C8">
        <w:rPr>
          <w:color w:val="000000"/>
        </w:rPr>
        <w:t>VỀ VIỆC THU LỆ PHÍ CẤP GIẤY PHÉP KINH DOANH VẬN TẢI BẰNG XE Ô TÔ TRÊN ĐỊA BÀN THÀNH PHỐ HÀ NỘI</w:t>
      </w:r>
    </w:p>
    <w:p w:rsidR="00B625C8" w:rsidRPr="00B625C8" w:rsidRDefault="00B625C8" w:rsidP="00B625C8">
      <w:pPr>
        <w:pStyle w:val="NormalWeb"/>
        <w:shd w:val="clear" w:color="auto" w:fill="FFFFFF"/>
        <w:spacing w:before="120" w:beforeAutospacing="0" w:after="0" w:afterAutospacing="0" w:line="360" w:lineRule="auto"/>
        <w:jc w:val="center"/>
        <w:rPr>
          <w:color w:val="000000"/>
        </w:rPr>
      </w:pPr>
      <w:r w:rsidRPr="00B625C8">
        <w:rPr>
          <w:b/>
          <w:bCs/>
          <w:color w:val="000000"/>
        </w:rPr>
        <w:t>ỦY BAN NHÂN DÂN THÀNH PHỐ HÀ NỘI</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i/>
          <w:iCs/>
          <w:color w:val="000000"/>
        </w:rPr>
        <w:t>Căn cứ Luật Tổ chức Hội đồng nhân dân và</w:t>
      </w:r>
      <w:r w:rsidRPr="00B625C8">
        <w:rPr>
          <w:rStyle w:val="apple-converted-space"/>
          <w:i/>
          <w:iCs/>
          <w:color w:val="000000"/>
        </w:rPr>
        <w:t> </w:t>
      </w:r>
      <w:r w:rsidRPr="00B625C8">
        <w:rPr>
          <w:i/>
          <w:iCs/>
          <w:color w:val="000000"/>
          <w:shd w:val="clear" w:color="auto" w:fill="FFFFFF"/>
        </w:rPr>
        <w:t>Ủy ban</w:t>
      </w:r>
      <w:r w:rsidRPr="00B625C8">
        <w:rPr>
          <w:rStyle w:val="apple-converted-space"/>
          <w:i/>
          <w:iCs/>
          <w:color w:val="000000"/>
        </w:rPr>
        <w:t> </w:t>
      </w:r>
      <w:r w:rsidRPr="00B625C8">
        <w:rPr>
          <w:i/>
          <w:iCs/>
          <w:color w:val="000000"/>
        </w:rPr>
        <w:t>nhân dân ngày 26 tháng 11 năm 2003;</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i/>
          <w:iCs/>
          <w:color w:val="000000"/>
        </w:rPr>
        <w:t>Căn cứ Luật Ban hành văn bản quy phạm pháp luật của Hội đồng nhân dân và</w:t>
      </w:r>
      <w:r w:rsidRPr="00B625C8">
        <w:rPr>
          <w:rStyle w:val="apple-converted-space"/>
          <w:i/>
          <w:iCs/>
          <w:color w:val="000000"/>
        </w:rPr>
        <w:t> </w:t>
      </w:r>
      <w:r w:rsidRPr="00B625C8">
        <w:rPr>
          <w:i/>
          <w:iCs/>
          <w:color w:val="000000"/>
          <w:shd w:val="clear" w:color="auto" w:fill="FFFFFF"/>
        </w:rPr>
        <w:t>Ủy ban</w:t>
      </w:r>
      <w:r w:rsidRPr="00B625C8">
        <w:rPr>
          <w:rStyle w:val="apple-converted-space"/>
          <w:i/>
          <w:iCs/>
          <w:color w:val="000000"/>
        </w:rPr>
        <w:t> </w:t>
      </w:r>
      <w:r w:rsidRPr="00B625C8">
        <w:rPr>
          <w:i/>
          <w:iCs/>
          <w:color w:val="000000"/>
        </w:rPr>
        <w:t>nhân dân ngày 03 tháng 12 năm 2004;</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Pháp lệnh Phí, lệ phí số</w:t>
      </w:r>
      <w:r w:rsidRPr="00B625C8">
        <w:rPr>
          <w:rStyle w:val="apple-converted-space"/>
          <w:i/>
          <w:iCs/>
          <w:color w:val="000000"/>
        </w:rPr>
        <w:t> </w:t>
      </w:r>
      <w:r w:rsidRPr="00B625C8">
        <w:rPr>
          <w:i/>
          <w:iCs/>
          <w:color w:val="000000"/>
        </w:rPr>
        <w:t>38/2001/PL-UBTVQH10</w:t>
      </w:r>
      <w:r w:rsidRPr="00B625C8">
        <w:rPr>
          <w:rStyle w:val="apple-converted-space"/>
          <w:i/>
          <w:iCs/>
          <w:color w:val="000000"/>
        </w:rPr>
        <w:t> </w:t>
      </w:r>
      <w:r w:rsidRPr="00B625C8">
        <w:rPr>
          <w:i/>
          <w:iCs/>
          <w:color w:val="000000"/>
        </w:rPr>
        <w:t>ngày 28 tháng 8 năm 2001;</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Nghị định số</w:t>
      </w:r>
      <w:r w:rsidRPr="00B625C8">
        <w:rPr>
          <w:rStyle w:val="apple-converted-space"/>
          <w:i/>
          <w:iCs/>
          <w:color w:val="000000"/>
        </w:rPr>
        <w:t> </w:t>
      </w:r>
      <w:r w:rsidRPr="00B625C8">
        <w:rPr>
          <w:i/>
          <w:iCs/>
          <w:color w:val="000000"/>
        </w:rPr>
        <w:t>57/2002/NĐ-CP</w:t>
      </w:r>
      <w:r w:rsidRPr="00B625C8">
        <w:rPr>
          <w:rStyle w:val="apple-converted-space"/>
          <w:i/>
          <w:iCs/>
          <w:color w:val="000000"/>
        </w:rPr>
        <w:t> </w:t>
      </w:r>
      <w:r w:rsidRPr="00B625C8">
        <w:rPr>
          <w:i/>
          <w:iCs/>
          <w:color w:val="000000"/>
        </w:rPr>
        <w:t>ngày 03 tháng 6 năm 2002 của Chính phủ quy định chi tiết thi hành Pháp lệnh phí và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Nghị định số</w:t>
      </w:r>
      <w:r w:rsidRPr="00B625C8">
        <w:rPr>
          <w:rStyle w:val="apple-converted-space"/>
          <w:i/>
          <w:iCs/>
          <w:color w:val="000000"/>
        </w:rPr>
        <w:t> </w:t>
      </w:r>
      <w:r w:rsidRPr="00B625C8">
        <w:rPr>
          <w:i/>
          <w:iCs/>
          <w:color w:val="000000"/>
        </w:rPr>
        <w:t>24/2006/NĐ-CP</w:t>
      </w:r>
      <w:r w:rsidRPr="00B625C8">
        <w:rPr>
          <w:rStyle w:val="apple-converted-space"/>
          <w:i/>
          <w:iCs/>
          <w:color w:val="000000"/>
        </w:rPr>
        <w:t> </w:t>
      </w:r>
      <w:r w:rsidRPr="00B625C8">
        <w:rPr>
          <w:i/>
          <w:iCs/>
          <w:color w:val="000000"/>
        </w:rPr>
        <w:t>ngày 06 tháng 3 năm 2006 của Chính phủ sửa đổi, bổ sung một số điều của Nghị định số</w:t>
      </w:r>
      <w:r w:rsidRPr="00B625C8">
        <w:rPr>
          <w:rStyle w:val="apple-converted-space"/>
          <w:i/>
          <w:iCs/>
          <w:color w:val="000000"/>
        </w:rPr>
        <w:t> </w:t>
      </w:r>
      <w:r w:rsidRPr="00B625C8">
        <w:rPr>
          <w:i/>
          <w:iCs/>
          <w:color w:val="000000"/>
        </w:rPr>
        <w:t>57/2002/NĐ-CP</w:t>
      </w:r>
      <w:r w:rsidRPr="00B625C8">
        <w:rPr>
          <w:rStyle w:val="apple-converted-space"/>
          <w:i/>
          <w:iCs/>
          <w:color w:val="000000"/>
        </w:rPr>
        <w:t> </w:t>
      </w:r>
      <w:r w:rsidRPr="00B625C8">
        <w:rPr>
          <w:i/>
          <w:iCs/>
          <w:color w:val="000000"/>
        </w:rPr>
        <w:t>ngày 03 tháng 6 năm 2002 của Chính phủ quy định chi tiết thi hành Pháp lệnh phí và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Nghị định số</w:t>
      </w:r>
      <w:r w:rsidRPr="00B625C8">
        <w:rPr>
          <w:rStyle w:val="apple-converted-space"/>
          <w:i/>
          <w:iCs/>
          <w:color w:val="000000"/>
        </w:rPr>
        <w:t> </w:t>
      </w:r>
      <w:r w:rsidRPr="00B625C8">
        <w:rPr>
          <w:i/>
          <w:iCs/>
          <w:color w:val="000000"/>
        </w:rPr>
        <w:t>109/2013/NĐ-CP</w:t>
      </w:r>
      <w:r w:rsidRPr="00B625C8">
        <w:rPr>
          <w:rStyle w:val="apple-converted-space"/>
          <w:i/>
          <w:iCs/>
          <w:color w:val="000000"/>
        </w:rPr>
        <w:t> </w:t>
      </w:r>
      <w:r w:rsidRPr="00B625C8">
        <w:rPr>
          <w:i/>
          <w:iCs/>
          <w:color w:val="000000"/>
        </w:rPr>
        <w:t>ngày 24 tháng 9 năm 2013 của Chính phủ quy định về việc xử phạt vi phạm hành chính trong lĩnh vực quản lý giá, phí, lệ phí,</w:t>
      </w:r>
      <w:r w:rsidRPr="00B625C8">
        <w:rPr>
          <w:rStyle w:val="apple-converted-space"/>
          <w:i/>
          <w:iCs/>
          <w:color w:val="000000"/>
        </w:rPr>
        <w:t> </w:t>
      </w:r>
      <w:r w:rsidRPr="00B625C8">
        <w:rPr>
          <w:i/>
          <w:iCs/>
          <w:color w:val="000000"/>
          <w:shd w:val="clear" w:color="auto" w:fill="FFFFFF"/>
        </w:rPr>
        <w:t>hóa</w:t>
      </w:r>
      <w:r w:rsidRPr="00B625C8">
        <w:rPr>
          <w:rStyle w:val="apple-converted-space"/>
          <w:i/>
          <w:iCs/>
          <w:color w:val="000000"/>
        </w:rPr>
        <w:t> </w:t>
      </w:r>
      <w:r w:rsidRPr="00B625C8">
        <w:rPr>
          <w:i/>
          <w:iCs/>
          <w:color w:val="000000"/>
        </w:rPr>
        <w:t>đơn;</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Thông tư số</w:t>
      </w:r>
      <w:r w:rsidRPr="00B625C8">
        <w:rPr>
          <w:rStyle w:val="apple-converted-space"/>
          <w:i/>
          <w:iCs/>
          <w:color w:val="000000"/>
        </w:rPr>
        <w:t> </w:t>
      </w:r>
      <w:r w:rsidRPr="00B625C8">
        <w:rPr>
          <w:i/>
          <w:iCs/>
          <w:color w:val="000000"/>
        </w:rPr>
        <w:t>63/2002/TT-BTC</w:t>
      </w:r>
      <w:r w:rsidRPr="00B625C8">
        <w:rPr>
          <w:rStyle w:val="apple-converted-space"/>
          <w:i/>
          <w:iCs/>
          <w:color w:val="000000"/>
        </w:rPr>
        <w:t> </w:t>
      </w:r>
      <w:r w:rsidRPr="00B625C8">
        <w:rPr>
          <w:i/>
          <w:iCs/>
          <w:color w:val="000000"/>
        </w:rPr>
        <w:t>ngày 24 tháng 7 năm 2002 của Bộ Tài chính hướng dẫn thực hiện các quy định pháp luật về phí và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Thông tư</w:t>
      </w:r>
      <w:r w:rsidRPr="00B625C8">
        <w:rPr>
          <w:rStyle w:val="apple-converted-space"/>
          <w:i/>
          <w:iCs/>
          <w:color w:val="000000"/>
        </w:rPr>
        <w:t> </w:t>
      </w:r>
      <w:r w:rsidRPr="00B625C8">
        <w:rPr>
          <w:i/>
          <w:iCs/>
          <w:color w:val="000000"/>
          <w:shd w:val="clear" w:color="auto" w:fill="FFFFFF"/>
        </w:rPr>
        <w:t>số</w:t>
      </w:r>
      <w:r w:rsidRPr="00B625C8">
        <w:rPr>
          <w:rStyle w:val="apple-converted-space"/>
          <w:i/>
          <w:iCs/>
          <w:color w:val="000000"/>
        </w:rPr>
        <w:t> </w:t>
      </w:r>
      <w:r w:rsidRPr="00B625C8">
        <w:rPr>
          <w:i/>
          <w:iCs/>
          <w:color w:val="000000"/>
        </w:rPr>
        <w:t>45/2006/TT-BTC</w:t>
      </w:r>
      <w:r w:rsidRPr="00B625C8">
        <w:rPr>
          <w:rStyle w:val="apple-converted-space"/>
          <w:i/>
          <w:iCs/>
          <w:color w:val="000000"/>
        </w:rPr>
        <w:t> </w:t>
      </w:r>
      <w:r w:rsidRPr="00B625C8">
        <w:rPr>
          <w:i/>
          <w:iCs/>
          <w:color w:val="000000"/>
        </w:rPr>
        <w:t>ngày 25 tháng 5 năm 2006 của Bộ Tài chính sửa đổi, bổ sung Thông tư số</w:t>
      </w:r>
      <w:r w:rsidRPr="00B625C8">
        <w:rPr>
          <w:rStyle w:val="apple-converted-space"/>
          <w:i/>
          <w:iCs/>
          <w:color w:val="000000"/>
        </w:rPr>
        <w:t> </w:t>
      </w:r>
      <w:r w:rsidRPr="00B625C8">
        <w:rPr>
          <w:i/>
          <w:iCs/>
          <w:color w:val="000000"/>
        </w:rPr>
        <w:t>63/2002/TT-BTC</w:t>
      </w:r>
      <w:r w:rsidRPr="00B625C8">
        <w:rPr>
          <w:rStyle w:val="apple-converted-space"/>
          <w:i/>
          <w:iCs/>
          <w:color w:val="000000"/>
        </w:rPr>
        <w:t> </w:t>
      </w:r>
      <w:r w:rsidRPr="00B625C8">
        <w:rPr>
          <w:i/>
          <w:iCs/>
          <w:color w:val="000000"/>
        </w:rPr>
        <w:t>ngày 24 tháng 7 năm 2002 của Bộ Tài chính hướng dẫn thực hiện các quy định pháp luật về phí và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lastRenderedPageBreak/>
        <w:t>Căn cứ Thông tư số</w:t>
      </w:r>
      <w:r w:rsidRPr="00B625C8">
        <w:rPr>
          <w:rStyle w:val="apple-converted-space"/>
          <w:i/>
          <w:iCs/>
          <w:color w:val="000000"/>
        </w:rPr>
        <w:t> </w:t>
      </w:r>
      <w:r w:rsidRPr="00B625C8">
        <w:rPr>
          <w:i/>
          <w:iCs/>
          <w:color w:val="000000"/>
        </w:rPr>
        <w:t>186/2013/TT-BTC</w:t>
      </w:r>
      <w:r w:rsidRPr="00B625C8">
        <w:rPr>
          <w:rStyle w:val="apple-converted-space"/>
          <w:i/>
          <w:iCs/>
          <w:color w:val="000000"/>
        </w:rPr>
        <w:t> </w:t>
      </w:r>
      <w:r w:rsidRPr="00B625C8">
        <w:rPr>
          <w:i/>
          <w:iCs/>
          <w:color w:val="000000"/>
        </w:rPr>
        <w:t>ngày 05 tháng 12 năm 2013 của Bộ Tài chính hướng dẫn thực hiện xử phạt vi phạm hành chính trong lĩnh vực quản lý phí,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Thông tư số</w:t>
      </w:r>
      <w:r w:rsidRPr="00B625C8">
        <w:rPr>
          <w:rStyle w:val="apple-converted-space"/>
          <w:i/>
          <w:iCs/>
          <w:color w:val="000000"/>
        </w:rPr>
        <w:t> </w:t>
      </w:r>
      <w:r w:rsidRPr="00B625C8">
        <w:rPr>
          <w:i/>
          <w:iCs/>
          <w:color w:val="000000"/>
        </w:rPr>
        <w:t>156/2013/TT-BTC</w:t>
      </w:r>
      <w:r w:rsidRPr="00B625C8">
        <w:rPr>
          <w:rStyle w:val="apple-converted-space"/>
          <w:i/>
          <w:iCs/>
          <w:color w:val="000000"/>
        </w:rPr>
        <w:t> </w:t>
      </w:r>
      <w:r w:rsidRPr="00B625C8">
        <w:rPr>
          <w:i/>
          <w:iCs/>
          <w:color w:val="000000"/>
        </w:rPr>
        <w:t>ngày 06 tháng 11 năm 2013 của Bộ Tài chính hướng dẫn thi hành một số điều của Luật quản lý thuế; Luật sửa đổi, bổ sung một số điều của Luật quản lý thuế và Nghị định số</w:t>
      </w:r>
      <w:r w:rsidRPr="00B625C8">
        <w:rPr>
          <w:rStyle w:val="apple-converted-space"/>
          <w:i/>
          <w:iCs/>
          <w:color w:val="000000"/>
        </w:rPr>
        <w:t> </w:t>
      </w:r>
      <w:r w:rsidRPr="00B625C8">
        <w:rPr>
          <w:i/>
          <w:iCs/>
          <w:color w:val="000000"/>
        </w:rPr>
        <w:t>83/2013/NĐ-CP</w:t>
      </w:r>
      <w:r w:rsidRPr="00B625C8">
        <w:rPr>
          <w:rStyle w:val="apple-converted-space"/>
          <w:i/>
          <w:iCs/>
          <w:color w:val="000000"/>
        </w:rPr>
        <w:t> </w:t>
      </w:r>
      <w:r w:rsidRPr="00B625C8">
        <w:rPr>
          <w:i/>
          <w:iCs/>
          <w:color w:val="000000"/>
        </w:rPr>
        <w:t>ngày 22 tháng 7 năm 2013 của Chính phủ;</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Thông tư số</w:t>
      </w:r>
      <w:r w:rsidRPr="00B625C8">
        <w:rPr>
          <w:rStyle w:val="apple-converted-space"/>
          <w:i/>
          <w:iCs/>
          <w:color w:val="000000"/>
        </w:rPr>
        <w:t> </w:t>
      </w:r>
      <w:r w:rsidRPr="00B625C8">
        <w:rPr>
          <w:i/>
          <w:iCs/>
          <w:color w:val="000000"/>
        </w:rPr>
        <w:t>02/2014/TT-BTC</w:t>
      </w:r>
      <w:r w:rsidRPr="00B625C8">
        <w:rPr>
          <w:rStyle w:val="apple-converted-space"/>
          <w:i/>
          <w:iCs/>
          <w:color w:val="000000"/>
        </w:rPr>
        <w:t> </w:t>
      </w:r>
      <w:r w:rsidRPr="00B625C8">
        <w:rPr>
          <w:i/>
          <w:iCs/>
          <w:color w:val="000000"/>
        </w:rPr>
        <w:t>ngày 02 tháng 01 năm 2014 của Bộ Tài chính hướng dẫn về phí và lệ phí thuộc thẩm quyền quyết định của Hội đồng nhân dân tỉnh, Thành phố trực thuộc trung ương;</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i/>
          <w:iCs/>
          <w:color w:val="000000"/>
        </w:rPr>
        <w:t>Căn cứ Nghị quyết số</w:t>
      </w:r>
      <w:r w:rsidRPr="00B625C8">
        <w:rPr>
          <w:rStyle w:val="apple-converted-space"/>
          <w:i/>
          <w:iCs/>
          <w:color w:val="000000"/>
        </w:rPr>
        <w:t> </w:t>
      </w:r>
      <w:r w:rsidRPr="00B625C8">
        <w:rPr>
          <w:i/>
          <w:iCs/>
          <w:color w:val="000000"/>
        </w:rPr>
        <w:t>05/2014/NQ-HĐND</w:t>
      </w:r>
      <w:r w:rsidRPr="00B625C8">
        <w:rPr>
          <w:rStyle w:val="apple-converted-space"/>
          <w:i/>
          <w:iCs/>
          <w:color w:val="000000"/>
        </w:rPr>
        <w:t> </w:t>
      </w:r>
      <w:r w:rsidRPr="00B625C8">
        <w:rPr>
          <w:i/>
          <w:iCs/>
          <w:color w:val="000000"/>
        </w:rPr>
        <w:t>ngày 09 tháng 7 năm 2014 của Hội đồng nhân dân Thành phố Hà Nội Khóa XIV Kỳ họp thứ 10 về việc ban hành, bãi bỏ một số quy định thu phí, lệ phí trên địa bàn thành phố Hà Nội thuộc</w:t>
      </w:r>
      <w:r w:rsidRPr="00B625C8">
        <w:rPr>
          <w:rStyle w:val="apple-converted-space"/>
          <w:i/>
          <w:iCs/>
          <w:color w:val="000000"/>
        </w:rPr>
        <w:t> </w:t>
      </w:r>
      <w:r w:rsidRPr="00B625C8">
        <w:rPr>
          <w:i/>
          <w:iCs/>
          <w:color w:val="000000"/>
          <w:shd w:val="clear" w:color="auto" w:fill="FFFFFF"/>
        </w:rPr>
        <w:t>thẩm quyền</w:t>
      </w:r>
      <w:r w:rsidRPr="00B625C8">
        <w:rPr>
          <w:rStyle w:val="apple-converted-space"/>
          <w:i/>
          <w:iCs/>
          <w:color w:val="000000"/>
        </w:rPr>
        <w:t> </w:t>
      </w:r>
      <w:r w:rsidRPr="00B625C8">
        <w:rPr>
          <w:i/>
          <w:iCs/>
          <w:color w:val="000000"/>
        </w:rPr>
        <w:t>quyết định của Hội đồng nhân dân Thành phố;</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i/>
          <w:iCs/>
          <w:color w:val="000000"/>
        </w:rPr>
        <w:t>Xét đề nghị của Liên ngành: Cục Thuế thành phố Hà Nội - Sở Tài chính - Sở Tư pháp - Kho bạc Nhà nước Hà Nội tại Tờ trình số 30039/TTrLN: CT-STC-TP-KBNN ngày 18 tháng 6 năm 2014,</w:t>
      </w:r>
    </w:p>
    <w:p w:rsidR="00B625C8" w:rsidRPr="00B625C8" w:rsidRDefault="00B625C8" w:rsidP="00B625C8">
      <w:pPr>
        <w:pStyle w:val="NormalWeb"/>
        <w:shd w:val="clear" w:color="auto" w:fill="FFFFFF"/>
        <w:spacing w:before="120" w:beforeAutospacing="0" w:after="0" w:afterAutospacing="0" w:line="360" w:lineRule="auto"/>
        <w:jc w:val="center"/>
        <w:rPr>
          <w:color w:val="000000"/>
        </w:rPr>
      </w:pPr>
      <w:r w:rsidRPr="00B625C8">
        <w:rPr>
          <w:b/>
          <w:bCs/>
          <w:color w:val="000000"/>
        </w:rPr>
        <w:t>QUYẾT ĐỊNH:</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1. Đối tượng nộp lệ phí</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Các</w:t>
      </w:r>
      <w:r w:rsidRPr="00B625C8">
        <w:rPr>
          <w:rStyle w:val="apple-converted-space"/>
          <w:color w:val="000000"/>
        </w:rPr>
        <w:t> </w:t>
      </w:r>
      <w:r w:rsidRPr="00B625C8">
        <w:rPr>
          <w:color w:val="000000"/>
          <w:shd w:val="clear" w:color="auto" w:fill="FFFFFF"/>
        </w:rPr>
        <w:t>tổ chức</w:t>
      </w:r>
      <w:r w:rsidRPr="00B625C8">
        <w:rPr>
          <w:color w:val="000000"/>
        </w:rPr>
        <w:t>, cá nhân khi được cơ quan Nhà nước có thẩm quyền cấp Giấy phép kinh doanh vận tải bằng xe ô tô phải nộp lệ phí cấp Giấy phép kinh doanh vận tải bằng xe ô tô.</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2. Mức thu lệ phí</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1. Lệ phí cấp mới : 200.000 đồng/lần cấp.</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2. Lệ phí cấp đổi, cấp lại (Do mất, hỏng hoặc có thay đổi về điều kiện kinh doanh liên quan đến nội dung trong giấy phép): 50.000 đồng/lần cấp.</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3.</w:t>
      </w:r>
      <w:r w:rsidRPr="00B625C8">
        <w:rPr>
          <w:rStyle w:val="apple-converted-space"/>
          <w:b/>
          <w:bCs/>
          <w:color w:val="000000"/>
        </w:rPr>
        <w:t> </w:t>
      </w:r>
      <w:r w:rsidRPr="00B625C8">
        <w:rPr>
          <w:b/>
          <w:bCs/>
          <w:color w:val="000000"/>
          <w:shd w:val="clear" w:color="auto" w:fill="FFFFFF"/>
        </w:rPr>
        <w:t>Đơn vị</w:t>
      </w:r>
      <w:r w:rsidRPr="00B625C8">
        <w:rPr>
          <w:rStyle w:val="apple-converted-space"/>
          <w:b/>
          <w:bCs/>
          <w:color w:val="000000"/>
        </w:rPr>
        <w:t> </w:t>
      </w:r>
      <w:r w:rsidRPr="00B625C8">
        <w:rPr>
          <w:b/>
          <w:bCs/>
          <w:color w:val="000000"/>
        </w:rPr>
        <w:t>thu lệ phí</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Sở Giao thông vận tải Hà Nội.</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lastRenderedPageBreak/>
        <w:t>Đơn vị thu lệ phí có trách nhiệm niêm yết hoặc thông báo công khai tại địa</w:t>
      </w:r>
      <w:r w:rsidRPr="00B625C8">
        <w:rPr>
          <w:rStyle w:val="apple-converted-space"/>
          <w:color w:val="000000"/>
        </w:rPr>
        <w:t> </w:t>
      </w:r>
      <w:r w:rsidRPr="00B625C8">
        <w:rPr>
          <w:color w:val="000000"/>
          <w:shd w:val="clear" w:color="auto" w:fill="FFFFFF"/>
        </w:rPr>
        <w:t>điểm</w:t>
      </w:r>
      <w:r w:rsidRPr="00B625C8">
        <w:rPr>
          <w:rStyle w:val="apple-converted-space"/>
          <w:color w:val="000000"/>
        </w:rPr>
        <w:t> </w:t>
      </w:r>
      <w:r w:rsidRPr="00B625C8">
        <w:rPr>
          <w:color w:val="000000"/>
        </w:rPr>
        <w:t>thu lệ phí về tên lệ phí, mức thu, phương thức thu và cơ quan quy định thu. Khi thu tiền lệ phí phải cấp chứng từ thu lệ phí cho đối tượng nộp theo quy định.</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4. Quản lý sử dụng tiền lệ phí thu được</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1. Năm 2014: Đơn vị thu lệ phí nộp Ngân sách Nhà nước 10% ; được để lại 90% trên tổng số lệ phí thu được.</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2. Từ ngày 01 tháng 01 năm 2015: đơn vị thu nộp 100% số lệ phí thu được vào ngân sách nhà nước; các khoản chi</w:t>
      </w:r>
      <w:r w:rsidRPr="00B625C8">
        <w:rPr>
          <w:rStyle w:val="apple-converted-space"/>
          <w:color w:val="000000"/>
        </w:rPr>
        <w:t> </w:t>
      </w:r>
      <w:r w:rsidRPr="00B625C8">
        <w:rPr>
          <w:color w:val="000000"/>
          <w:shd w:val="clear" w:color="auto" w:fill="FFFFFF"/>
        </w:rPr>
        <w:t>phí</w:t>
      </w:r>
      <w:r w:rsidRPr="00B625C8">
        <w:rPr>
          <w:rStyle w:val="apple-converted-space"/>
          <w:color w:val="000000"/>
        </w:rPr>
        <w:t> </w:t>
      </w:r>
      <w:r w:rsidRPr="00B625C8">
        <w:rPr>
          <w:color w:val="000000"/>
        </w:rPr>
        <w:t>liên quan đến công tác thu lệ phí được ngân sách nhà nước cấp theo dự toán được duyệt hàng năm.</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color w:val="000000"/>
        </w:rPr>
        <w:t>Đơn vị thu lệ phí có trách nhiệm quản lý, kê khai, quyết toán, nộp ngân sách và sử dụng số tiền lệ phí được để lại (năm 2014) theo đúng hướng dẫn tại Thông tư</w:t>
      </w:r>
      <w:r w:rsidRPr="00B625C8">
        <w:rPr>
          <w:rStyle w:val="apple-converted-space"/>
          <w:color w:val="000000"/>
        </w:rPr>
        <w:t> </w:t>
      </w:r>
      <w:r w:rsidRPr="00B625C8">
        <w:rPr>
          <w:color w:val="000000"/>
        </w:rPr>
        <w:t>63/2002/TT-BTC</w:t>
      </w:r>
      <w:r w:rsidRPr="00B625C8">
        <w:rPr>
          <w:rStyle w:val="apple-converted-space"/>
          <w:color w:val="000000"/>
        </w:rPr>
        <w:t> </w:t>
      </w:r>
      <w:r w:rsidRPr="00B625C8">
        <w:rPr>
          <w:color w:val="000000"/>
        </w:rPr>
        <w:t>ngày 24 tháng 07 năm 2002 của Bộ Tài chính hướng dẫn thực hiện các quy định pháp luật về phí, lệ phí và Thông tư số</w:t>
      </w:r>
      <w:r w:rsidRPr="00B625C8">
        <w:rPr>
          <w:rStyle w:val="apple-converted-space"/>
          <w:color w:val="000000"/>
        </w:rPr>
        <w:t> </w:t>
      </w:r>
      <w:r w:rsidRPr="00B625C8">
        <w:rPr>
          <w:color w:val="000000"/>
        </w:rPr>
        <w:t>45/2006/TT-BTC</w:t>
      </w:r>
      <w:r w:rsidRPr="00B625C8">
        <w:rPr>
          <w:rStyle w:val="apple-converted-space"/>
          <w:color w:val="000000"/>
        </w:rPr>
        <w:t> </w:t>
      </w:r>
      <w:r w:rsidRPr="00B625C8">
        <w:rPr>
          <w:color w:val="000000"/>
        </w:rPr>
        <w:t>ngày 25 tháng 05 năm 2006 sửa đổi, bổ sung Thông tư số</w:t>
      </w:r>
      <w:r w:rsidRPr="00B625C8">
        <w:rPr>
          <w:rStyle w:val="apple-converted-space"/>
          <w:color w:val="0E70C3"/>
        </w:rPr>
        <w:t> </w:t>
      </w:r>
      <w:r w:rsidRPr="00B625C8">
        <w:rPr>
          <w:color w:val="000000"/>
        </w:rPr>
        <w:t>63/TT-BTC</w:t>
      </w:r>
      <w:r w:rsidRPr="00B625C8">
        <w:rPr>
          <w:rStyle w:val="apple-converted-space"/>
          <w:color w:val="000000"/>
        </w:rPr>
        <w:t> </w:t>
      </w:r>
      <w:r w:rsidRPr="00B625C8">
        <w:rPr>
          <w:color w:val="000000"/>
        </w:rPr>
        <w:t>ngày 24 tháng 7 năm 2002; Thông tư số</w:t>
      </w:r>
      <w:r w:rsidRPr="00B625C8">
        <w:rPr>
          <w:rStyle w:val="apple-converted-space"/>
          <w:color w:val="000000"/>
        </w:rPr>
        <w:t> </w:t>
      </w:r>
      <w:r w:rsidRPr="00B625C8">
        <w:rPr>
          <w:color w:val="000000"/>
        </w:rPr>
        <w:t>156/2013/TT-BTC</w:t>
      </w:r>
      <w:r w:rsidRPr="00B625C8">
        <w:rPr>
          <w:rStyle w:val="apple-converted-space"/>
          <w:color w:val="000000"/>
        </w:rPr>
        <w:t> </w:t>
      </w:r>
      <w:r w:rsidRPr="00B625C8">
        <w:rPr>
          <w:color w:val="000000"/>
        </w:rPr>
        <w:t>ngày 06 tháng 11 năm 2013 của Bộ Tài chính hướng dẫn thi hành một số điều của Luật quản lý thuế; Luật sửa đổi, bổ sung một số điều của Luật quản lý thuế và Nghị định số</w:t>
      </w:r>
      <w:r w:rsidRPr="00B625C8">
        <w:rPr>
          <w:rStyle w:val="apple-converted-space"/>
          <w:color w:val="000000"/>
        </w:rPr>
        <w:t> </w:t>
      </w:r>
      <w:r w:rsidRPr="00B625C8">
        <w:rPr>
          <w:color w:val="000000"/>
        </w:rPr>
        <w:t>83/2013/NĐ-CP</w:t>
      </w:r>
      <w:r w:rsidRPr="00B625C8">
        <w:rPr>
          <w:rStyle w:val="apple-converted-space"/>
          <w:color w:val="000000"/>
        </w:rPr>
        <w:t> </w:t>
      </w:r>
      <w:r w:rsidRPr="00B625C8">
        <w:rPr>
          <w:color w:val="000000"/>
        </w:rPr>
        <w:t>ngày 22 tháng 7 năm 2013 của Chính phủ.</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5. Chứng từ thu lệ phí</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color w:val="000000"/>
        </w:rPr>
        <w:t>Sử dụng biên lai thu lệ phí do Cơ quan thuế phát hành hoặc tự in, đặt in theo quy định tại Thông tư</w:t>
      </w:r>
      <w:r w:rsidRPr="00B625C8">
        <w:rPr>
          <w:rStyle w:val="apple-converted-space"/>
          <w:color w:val="000000"/>
        </w:rPr>
        <w:t> </w:t>
      </w:r>
      <w:r w:rsidRPr="00B625C8">
        <w:rPr>
          <w:color w:val="000000"/>
        </w:rPr>
        <w:t>153/2012/TT-BTC</w:t>
      </w:r>
      <w:r w:rsidRPr="00B625C8">
        <w:rPr>
          <w:rStyle w:val="apple-converted-space"/>
          <w:color w:val="000000"/>
        </w:rPr>
        <w:t> </w:t>
      </w:r>
      <w:r w:rsidRPr="00B625C8">
        <w:rPr>
          <w:color w:val="000000"/>
        </w:rPr>
        <w:t>ngày 17 tháng 9 năm 2012 của Bộ Tài chính hướng dẫn việc in, phát hành, quản lý và sử dụng các loại chứng từ thu tiền phí, lệ phí thuộc ngân sách nhà nước.</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6. Xử lý vi phạm</w:t>
      </w:r>
    </w:p>
    <w:p w:rsidR="00B625C8" w:rsidRPr="00B625C8" w:rsidRDefault="00B625C8" w:rsidP="00B625C8">
      <w:pPr>
        <w:pStyle w:val="NormalWeb"/>
        <w:shd w:val="clear" w:color="auto" w:fill="FFFFFF"/>
        <w:spacing w:before="0" w:beforeAutospacing="0" w:after="0" w:afterAutospacing="0" w:line="360" w:lineRule="auto"/>
        <w:rPr>
          <w:color w:val="000000"/>
        </w:rPr>
      </w:pPr>
      <w:r w:rsidRPr="00B625C8">
        <w:rPr>
          <w:color w:val="000000"/>
        </w:rPr>
        <w:t>Các</w:t>
      </w:r>
      <w:r w:rsidRPr="00B625C8">
        <w:rPr>
          <w:rStyle w:val="apple-converted-space"/>
          <w:color w:val="000000"/>
        </w:rPr>
        <w:t> </w:t>
      </w:r>
      <w:r w:rsidRPr="00B625C8">
        <w:rPr>
          <w:color w:val="000000"/>
          <w:shd w:val="clear" w:color="auto" w:fill="FFFFFF"/>
        </w:rPr>
        <w:t>trường hợp</w:t>
      </w:r>
      <w:r w:rsidRPr="00B625C8">
        <w:rPr>
          <w:rStyle w:val="apple-converted-space"/>
          <w:color w:val="000000"/>
        </w:rPr>
        <w:t> </w:t>
      </w:r>
      <w:r w:rsidRPr="00B625C8">
        <w:rPr>
          <w:color w:val="000000"/>
        </w:rPr>
        <w:t>vi phạm sẽ bị xử lý theo Nghị định số</w:t>
      </w:r>
      <w:r w:rsidRPr="00B625C8">
        <w:rPr>
          <w:rStyle w:val="apple-converted-space"/>
          <w:color w:val="000000"/>
        </w:rPr>
        <w:t> </w:t>
      </w:r>
      <w:r w:rsidRPr="00B625C8">
        <w:rPr>
          <w:color w:val="000000"/>
        </w:rPr>
        <w:t>109/2013/NĐ-CP</w:t>
      </w:r>
      <w:r w:rsidRPr="00B625C8">
        <w:rPr>
          <w:rStyle w:val="apple-converted-space"/>
          <w:color w:val="000000"/>
        </w:rPr>
        <w:t> </w:t>
      </w:r>
      <w:r w:rsidRPr="00B625C8">
        <w:rPr>
          <w:color w:val="000000"/>
        </w:rPr>
        <w:t>ngày 24 tháng 9 năm 2013 của Chính phủ quy định về việc xử phạt vi phạm hành chính trong lĩnh vực quản lý giá, phí, lệ phí,</w:t>
      </w:r>
      <w:r w:rsidRPr="00B625C8">
        <w:rPr>
          <w:rStyle w:val="apple-converted-space"/>
          <w:color w:val="000000"/>
        </w:rPr>
        <w:t> </w:t>
      </w:r>
      <w:r w:rsidRPr="00B625C8">
        <w:rPr>
          <w:color w:val="000000"/>
          <w:shd w:val="clear" w:color="auto" w:fill="FFFFFF"/>
        </w:rPr>
        <w:t>hóa</w:t>
      </w:r>
      <w:r w:rsidRPr="00B625C8">
        <w:rPr>
          <w:rStyle w:val="apple-converted-space"/>
          <w:color w:val="000000"/>
        </w:rPr>
        <w:t> </w:t>
      </w:r>
      <w:r w:rsidRPr="00B625C8">
        <w:rPr>
          <w:color w:val="000000"/>
        </w:rPr>
        <w:t>đơn và Thông tư số</w:t>
      </w:r>
      <w:r w:rsidRPr="00B625C8">
        <w:rPr>
          <w:rStyle w:val="apple-converted-space"/>
          <w:color w:val="000000"/>
        </w:rPr>
        <w:t> </w:t>
      </w:r>
      <w:r w:rsidRPr="00B625C8">
        <w:rPr>
          <w:color w:val="000000"/>
        </w:rPr>
        <w:t>186/2013/TT-BTC</w:t>
      </w:r>
      <w:r w:rsidRPr="00B625C8">
        <w:rPr>
          <w:rStyle w:val="apple-converted-space"/>
          <w:color w:val="000000"/>
        </w:rPr>
        <w:t> </w:t>
      </w:r>
      <w:r w:rsidRPr="00B625C8">
        <w:rPr>
          <w:color w:val="000000"/>
        </w:rPr>
        <w:t>ngày 05 tháng 12 năm 2013 của Bộ Tài chính hướng dẫn thực hiện xử phạt vi phạm hành chính trong lĩnh vực quản lý phí, lệ phí.</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shd w:val="clear" w:color="auto" w:fill="FFFFFF"/>
        </w:rPr>
        <w:lastRenderedPageBreak/>
        <w:t>Điều</w:t>
      </w:r>
      <w:r w:rsidRPr="00B625C8">
        <w:rPr>
          <w:rStyle w:val="apple-converted-space"/>
          <w:b/>
          <w:bCs/>
          <w:color w:val="000000"/>
        </w:rPr>
        <w:t> </w:t>
      </w:r>
      <w:r w:rsidRPr="00B625C8">
        <w:rPr>
          <w:b/>
          <w:bCs/>
          <w:color w:val="000000"/>
        </w:rPr>
        <w:t>7. Hiệu lực thi hành</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Quyết định này có hiệu lực thi hành sau 10 ngày kể từ ngày ký và thay thế Quyết định số 44/2011/QĐ-</w:t>
      </w:r>
      <w:r w:rsidRPr="00B625C8">
        <w:rPr>
          <w:color w:val="000000"/>
          <w:shd w:val="clear" w:color="auto" w:fill="FFFFFF"/>
        </w:rPr>
        <w:t>UBND</w:t>
      </w:r>
      <w:r w:rsidRPr="00B625C8">
        <w:rPr>
          <w:rStyle w:val="apple-converted-space"/>
          <w:color w:val="000000"/>
        </w:rPr>
        <w:t> </w:t>
      </w:r>
      <w:r w:rsidRPr="00B625C8">
        <w:rPr>
          <w:color w:val="000000"/>
        </w:rPr>
        <w:t>ngày 22 tháng 12 năm 2011 của UBND thành phố Hà Nội về việc thu lệ phí cấp giấy phép kinh doanh vận tải bằng xe ô tô địa bàn thành phố Hà Nội.</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b/>
          <w:bCs/>
          <w:color w:val="000000"/>
        </w:rPr>
        <w:t>Điều 8. Tổ chức thực hiện</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Chánh Văn phòng</w:t>
      </w:r>
      <w:r w:rsidRPr="00B625C8">
        <w:rPr>
          <w:rStyle w:val="apple-converted-space"/>
          <w:color w:val="000000"/>
        </w:rPr>
        <w:t> </w:t>
      </w:r>
      <w:r w:rsidRPr="00B625C8">
        <w:rPr>
          <w:color w:val="000000"/>
          <w:shd w:val="clear" w:color="auto" w:fill="FFFFFF"/>
        </w:rPr>
        <w:t>Ủy ban</w:t>
      </w:r>
      <w:r w:rsidRPr="00B625C8">
        <w:rPr>
          <w:rStyle w:val="apple-converted-space"/>
          <w:color w:val="000000"/>
        </w:rPr>
        <w:t> </w:t>
      </w:r>
      <w:r w:rsidRPr="00B625C8">
        <w:rPr>
          <w:color w:val="000000"/>
        </w:rPr>
        <w:t>nhân dân Thành phố; Giám đốc các Sở: Tài chính, Giao thông vận tải; Giám đốc Kho bạc Nhà nước Hà Nội; Cục trưởng Cục Thuế thành phố Hà Nội và các tổ chức, cá nhân có liên quan chịu trách nhiệm thi hành Quyết định này./.</w:t>
      </w:r>
    </w:p>
    <w:p w:rsidR="00B625C8" w:rsidRPr="00B625C8" w:rsidRDefault="00B625C8" w:rsidP="00B625C8">
      <w:pPr>
        <w:pStyle w:val="NormalWeb"/>
        <w:shd w:val="clear" w:color="auto" w:fill="FFFFFF"/>
        <w:spacing w:before="120" w:beforeAutospacing="0" w:after="0" w:afterAutospacing="0" w:line="360" w:lineRule="auto"/>
        <w:rPr>
          <w:color w:val="000000"/>
        </w:rPr>
      </w:pPr>
      <w:r w:rsidRPr="00B625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tblGrid>
      <w:tr w:rsidR="00B625C8" w:rsidRPr="00B625C8" w:rsidTr="00B625C8">
        <w:trPr>
          <w:tblCellSpacing w:w="0" w:type="dxa"/>
        </w:trPr>
        <w:tc>
          <w:tcPr>
            <w:tcW w:w="4275" w:type="dxa"/>
            <w:shd w:val="clear" w:color="auto" w:fill="FFFFFF"/>
            <w:tcMar>
              <w:top w:w="0" w:type="dxa"/>
              <w:left w:w="108" w:type="dxa"/>
              <w:bottom w:w="0" w:type="dxa"/>
              <w:right w:w="108" w:type="dxa"/>
            </w:tcMar>
            <w:hideMark/>
          </w:tcPr>
          <w:p w:rsidR="00B625C8" w:rsidRPr="00B625C8" w:rsidRDefault="00B625C8" w:rsidP="00B625C8">
            <w:pPr>
              <w:pStyle w:val="NormalWeb"/>
              <w:spacing w:before="120" w:beforeAutospacing="0" w:after="0" w:afterAutospacing="0" w:line="360" w:lineRule="auto"/>
              <w:rPr>
                <w:color w:val="000000"/>
              </w:rPr>
            </w:pPr>
            <w:r w:rsidRPr="00B625C8">
              <w:rPr>
                <w:b/>
                <w:bCs/>
                <w:i/>
                <w:iCs/>
                <w:color w:val="000000"/>
              </w:rPr>
              <w:t> </w:t>
            </w:r>
          </w:p>
          <w:p w:rsidR="00B625C8" w:rsidRPr="00B625C8" w:rsidRDefault="00B625C8" w:rsidP="00B625C8">
            <w:pPr>
              <w:pStyle w:val="NormalWeb"/>
              <w:spacing w:before="120" w:beforeAutospacing="0" w:after="0" w:afterAutospacing="0" w:line="360" w:lineRule="auto"/>
              <w:rPr>
                <w:color w:val="000000"/>
              </w:rPr>
            </w:pPr>
            <w:r w:rsidRPr="00B625C8">
              <w:rPr>
                <w:b/>
                <w:bCs/>
                <w:i/>
                <w:iCs/>
                <w:color w:val="000000"/>
              </w:rPr>
              <w:t>Nơi nhận:</w:t>
            </w:r>
            <w:r w:rsidRPr="00B625C8">
              <w:rPr>
                <w:b/>
                <w:bCs/>
                <w:i/>
                <w:iCs/>
                <w:color w:val="000000"/>
              </w:rPr>
              <w:br/>
            </w:r>
            <w:r w:rsidRPr="00B625C8">
              <w:rPr>
                <w:color w:val="000000"/>
              </w:rPr>
              <w:t>- Như Điều 8;</w:t>
            </w:r>
            <w:r w:rsidRPr="00B625C8">
              <w:rPr>
                <w:color w:val="000000"/>
              </w:rPr>
              <w:br/>
              <w:t>- Bộ Tài chính;</w:t>
            </w:r>
            <w:r w:rsidRPr="00B625C8">
              <w:rPr>
                <w:color w:val="000000"/>
              </w:rPr>
              <w:br/>
              <w:t>- Đoàn ĐBQH TP;</w:t>
            </w:r>
            <w:r w:rsidRPr="00B625C8">
              <w:rPr>
                <w:color w:val="000000"/>
              </w:rPr>
              <w:br/>
              <w:t>- TT Thành</w:t>
            </w:r>
            <w:r w:rsidRPr="00B625C8">
              <w:rPr>
                <w:rStyle w:val="apple-converted-space"/>
                <w:color w:val="000000"/>
              </w:rPr>
              <w:t> </w:t>
            </w:r>
            <w:r w:rsidRPr="00B625C8">
              <w:rPr>
                <w:color w:val="000000"/>
                <w:shd w:val="clear" w:color="auto" w:fill="FFFFFF"/>
              </w:rPr>
              <w:t>ủy</w:t>
            </w:r>
            <w:r w:rsidRPr="00B625C8">
              <w:rPr>
                <w:color w:val="000000"/>
              </w:rPr>
              <w:t>, TT HĐND TP;</w:t>
            </w:r>
            <w:r w:rsidRPr="00B625C8">
              <w:rPr>
                <w:color w:val="000000"/>
              </w:rPr>
              <w:br/>
              <w:t>- Chủ tịch UBNDTP;</w:t>
            </w:r>
            <w:r w:rsidRPr="00B625C8">
              <w:rPr>
                <w:color w:val="000000"/>
              </w:rPr>
              <w:br/>
              <w:t>- Các Phó Chủ tịch UBND TP; .</w:t>
            </w:r>
            <w:r w:rsidRPr="00B625C8">
              <w:rPr>
                <w:color w:val="000000"/>
              </w:rPr>
              <w:br/>
              <w:t>- Ban KTNS HĐND TP;</w:t>
            </w:r>
            <w:r w:rsidRPr="00B625C8">
              <w:rPr>
                <w:color w:val="000000"/>
              </w:rPr>
              <w:br/>
              <w:t>- Các sở, ban, ngành Thành phố;</w:t>
            </w:r>
            <w:r w:rsidRPr="00B625C8">
              <w:rPr>
                <w:color w:val="000000"/>
              </w:rPr>
              <w:br/>
              <w:t>- Cục Kiểm tra Văn bản (Bộ Tư pháp);</w:t>
            </w:r>
            <w:r w:rsidRPr="00B625C8">
              <w:rPr>
                <w:color w:val="000000"/>
              </w:rPr>
              <w:br/>
              <w:t>- Website Chính phủ;</w:t>
            </w:r>
            <w:r w:rsidRPr="00B625C8">
              <w:rPr>
                <w:color w:val="000000"/>
              </w:rPr>
              <w:br/>
              <w:t>- VP: Thành ủy, Đoàn ĐBQH và HĐND TP;</w:t>
            </w:r>
            <w:r w:rsidRPr="00B625C8">
              <w:rPr>
                <w:color w:val="000000"/>
              </w:rPr>
              <w:br/>
              <w:t>- VPUB: CPVP, các phòng CV;</w:t>
            </w:r>
            <w:r w:rsidRPr="00B625C8">
              <w:rPr>
                <w:color w:val="000000"/>
              </w:rPr>
              <w:br/>
              <w:t xml:space="preserve">- TT Tin học Công báo TP, Cổng giao </w:t>
            </w:r>
            <w:r w:rsidRPr="00B625C8">
              <w:rPr>
                <w:color w:val="000000"/>
              </w:rPr>
              <w:lastRenderedPageBreak/>
              <w:t>tiếp điện tử TP;</w:t>
            </w:r>
            <w:r w:rsidRPr="00B625C8">
              <w:rPr>
                <w:color w:val="000000"/>
              </w:rPr>
              <w:br/>
              <w:t>- Lưu: VT.</w:t>
            </w:r>
          </w:p>
        </w:tc>
      </w:tr>
    </w:tbl>
    <w:p w:rsidR="00450888" w:rsidRPr="00B625C8" w:rsidRDefault="00450888" w:rsidP="00B625C8">
      <w:pPr>
        <w:spacing w:line="360" w:lineRule="auto"/>
        <w:rPr>
          <w:rFonts w:ascii="Times New Roman" w:hAnsi="Times New Roman"/>
          <w:sz w:val="24"/>
          <w:szCs w:val="24"/>
        </w:rPr>
      </w:pPr>
    </w:p>
    <w:sectPr w:rsidR="00450888" w:rsidRPr="00B625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29" w:rsidRDefault="00207D29" w:rsidP="00B625C8">
      <w:pPr>
        <w:spacing w:after="0" w:line="240" w:lineRule="auto"/>
      </w:pPr>
      <w:r>
        <w:separator/>
      </w:r>
    </w:p>
  </w:endnote>
  <w:endnote w:type="continuationSeparator" w:id="0">
    <w:p w:rsidR="00207D29" w:rsidRDefault="00207D29" w:rsidP="00B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C8" w:rsidRPr="00A67571" w:rsidRDefault="00B625C8" w:rsidP="00B625C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625C8" w:rsidRDefault="00B6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29" w:rsidRDefault="00207D29" w:rsidP="00B625C8">
      <w:pPr>
        <w:spacing w:after="0" w:line="240" w:lineRule="auto"/>
      </w:pPr>
      <w:r>
        <w:separator/>
      </w:r>
    </w:p>
  </w:footnote>
  <w:footnote w:type="continuationSeparator" w:id="0">
    <w:p w:rsidR="00207D29" w:rsidRDefault="00207D29" w:rsidP="00B6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625C8" w:rsidRPr="00A67571" w:rsidTr="002248E4">
      <w:trPr>
        <w:trHeight w:val="1208"/>
      </w:trPr>
      <w:tc>
        <w:tcPr>
          <w:tcW w:w="2411" w:type="dxa"/>
          <w:tcBorders>
            <w:top w:val="nil"/>
            <w:left w:val="nil"/>
            <w:bottom w:val="single" w:sz="4" w:space="0" w:color="auto"/>
            <w:right w:val="nil"/>
          </w:tcBorders>
          <w:vAlign w:val="center"/>
          <w:hideMark/>
        </w:tcPr>
        <w:p w:rsidR="00B625C8" w:rsidRPr="00A67571" w:rsidRDefault="00B625C8" w:rsidP="002248E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625C8" w:rsidRPr="00A67571" w:rsidRDefault="00B625C8" w:rsidP="002248E4">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625C8" w:rsidRPr="00A67571" w:rsidRDefault="00B625C8" w:rsidP="002248E4">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B625C8" w:rsidRPr="00A67571" w:rsidRDefault="00B625C8" w:rsidP="002248E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B625C8" w:rsidRPr="00A67571" w:rsidRDefault="00B625C8" w:rsidP="002248E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625C8" w:rsidRDefault="00B62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C8"/>
    <w:rsid w:val="00207D29"/>
    <w:rsid w:val="00450888"/>
    <w:rsid w:val="00B6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C8"/>
    <w:rPr>
      <w:rFonts w:ascii="Calibri" w:eastAsia="Calibri" w:hAnsi="Calibri" w:cs="Times New Roman"/>
      <w:sz w:val="22"/>
    </w:rPr>
  </w:style>
  <w:style w:type="paragraph" w:styleId="Heading6">
    <w:name w:val="heading 6"/>
    <w:basedOn w:val="Normal"/>
    <w:next w:val="Normal"/>
    <w:link w:val="Heading6Char"/>
    <w:semiHidden/>
    <w:unhideWhenUsed/>
    <w:qFormat/>
    <w:rsid w:val="00B625C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25C8"/>
    <w:rPr>
      <w:b/>
      <w:bCs/>
    </w:rPr>
  </w:style>
  <w:style w:type="paragraph" w:styleId="NormalWeb">
    <w:name w:val="Normal (Web)"/>
    <w:basedOn w:val="Normal"/>
    <w:uiPriority w:val="99"/>
    <w:unhideWhenUsed/>
    <w:rsid w:val="00B625C8"/>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B625C8"/>
    <w:rPr>
      <w:color w:val="0000FF"/>
      <w:u w:val="single"/>
    </w:rPr>
  </w:style>
  <w:style w:type="character" w:customStyle="1" w:styleId="apple-converted-space">
    <w:name w:val="apple-converted-space"/>
    <w:basedOn w:val="DefaultParagraphFont"/>
    <w:rsid w:val="00B625C8"/>
  </w:style>
  <w:style w:type="paragraph" w:styleId="Header">
    <w:name w:val="header"/>
    <w:basedOn w:val="Normal"/>
    <w:link w:val="HeaderChar"/>
    <w:uiPriority w:val="99"/>
    <w:unhideWhenUsed/>
    <w:rsid w:val="00B6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8"/>
    <w:rPr>
      <w:rFonts w:ascii="Calibri" w:eastAsia="Calibri" w:hAnsi="Calibri" w:cs="Times New Roman"/>
      <w:sz w:val="22"/>
    </w:rPr>
  </w:style>
  <w:style w:type="paragraph" w:styleId="Footer">
    <w:name w:val="footer"/>
    <w:basedOn w:val="Normal"/>
    <w:link w:val="FooterChar"/>
    <w:uiPriority w:val="99"/>
    <w:unhideWhenUsed/>
    <w:rsid w:val="00B6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8"/>
    <w:rPr>
      <w:rFonts w:ascii="Calibri" w:eastAsia="Calibri" w:hAnsi="Calibri" w:cs="Times New Roman"/>
      <w:sz w:val="22"/>
    </w:rPr>
  </w:style>
  <w:style w:type="character" w:customStyle="1" w:styleId="Heading6Char">
    <w:name w:val="Heading 6 Char"/>
    <w:basedOn w:val="DefaultParagraphFont"/>
    <w:link w:val="Heading6"/>
    <w:semiHidden/>
    <w:rsid w:val="00B625C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6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C8"/>
    <w:rPr>
      <w:rFonts w:ascii="Calibri" w:eastAsia="Calibri" w:hAnsi="Calibri" w:cs="Times New Roman"/>
      <w:sz w:val="22"/>
    </w:rPr>
  </w:style>
  <w:style w:type="paragraph" w:styleId="Heading6">
    <w:name w:val="heading 6"/>
    <w:basedOn w:val="Normal"/>
    <w:next w:val="Normal"/>
    <w:link w:val="Heading6Char"/>
    <w:semiHidden/>
    <w:unhideWhenUsed/>
    <w:qFormat/>
    <w:rsid w:val="00B625C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25C8"/>
    <w:rPr>
      <w:b/>
      <w:bCs/>
    </w:rPr>
  </w:style>
  <w:style w:type="paragraph" w:styleId="NormalWeb">
    <w:name w:val="Normal (Web)"/>
    <w:basedOn w:val="Normal"/>
    <w:uiPriority w:val="99"/>
    <w:unhideWhenUsed/>
    <w:rsid w:val="00B625C8"/>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B625C8"/>
    <w:rPr>
      <w:color w:val="0000FF"/>
      <w:u w:val="single"/>
    </w:rPr>
  </w:style>
  <w:style w:type="character" w:customStyle="1" w:styleId="apple-converted-space">
    <w:name w:val="apple-converted-space"/>
    <w:basedOn w:val="DefaultParagraphFont"/>
    <w:rsid w:val="00B625C8"/>
  </w:style>
  <w:style w:type="paragraph" w:styleId="Header">
    <w:name w:val="header"/>
    <w:basedOn w:val="Normal"/>
    <w:link w:val="HeaderChar"/>
    <w:uiPriority w:val="99"/>
    <w:unhideWhenUsed/>
    <w:rsid w:val="00B6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C8"/>
    <w:rPr>
      <w:rFonts w:ascii="Calibri" w:eastAsia="Calibri" w:hAnsi="Calibri" w:cs="Times New Roman"/>
      <w:sz w:val="22"/>
    </w:rPr>
  </w:style>
  <w:style w:type="paragraph" w:styleId="Footer">
    <w:name w:val="footer"/>
    <w:basedOn w:val="Normal"/>
    <w:link w:val="FooterChar"/>
    <w:uiPriority w:val="99"/>
    <w:unhideWhenUsed/>
    <w:rsid w:val="00B6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C8"/>
    <w:rPr>
      <w:rFonts w:ascii="Calibri" w:eastAsia="Calibri" w:hAnsi="Calibri" w:cs="Times New Roman"/>
      <w:sz w:val="22"/>
    </w:rPr>
  </w:style>
  <w:style w:type="character" w:customStyle="1" w:styleId="Heading6Char">
    <w:name w:val="Heading 6 Char"/>
    <w:basedOn w:val="DefaultParagraphFont"/>
    <w:link w:val="Heading6"/>
    <w:semiHidden/>
    <w:rsid w:val="00B625C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6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2015-12-12T08:09:00Z</dcterms:created>
  <dcterms:modified xsi:type="dcterms:W3CDTF">2015-12-12T08:24:00Z</dcterms:modified>
</cp:coreProperties>
</file>