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83B26" w:rsidRPr="00083B26" w:rsidTr="00083B26">
        <w:trPr>
          <w:tblCellSpacing w:w="0" w:type="dxa"/>
        </w:trPr>
        <w:tc>
          <w:tcPr>
            <w:tcW w:w="3348" w:type="dxa"/>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b/>
                <w:bCs/>
                <w:color w:val="000000"/>
                <w:lang w:val="nl-NL"/>
              </w:rPr>
              <w:t>HỘI ĐỒNG NHÂN DÂN</w:t>
            </w:r>
            <w:r w:rsidRPr="00083B26">
              <w:rPr>
                <w:b/>
                <w:bCs/>
                <w:color w:val="000000"/>
                <w:lang w:val="nl-NL"/>
              </w:rPr>
              <w:br/>
              <w:t>TỈNH NAM ĐỊNH</w:t>
            </w:r>
            <w:r w:rsidRPr="00083B26">
              <w:rPr>
                <w:b/>
                <w:bCs/>
                <w:color w:val="000000"/>
                <w:lang w:val="nl-NL"/>
              </w:rPr>
              <w:br/>
              <w:t>--------</w:t>
            </w:r>
          </w:p>
        </w:tc>
        <w:tc>
          <w:tcPr>
            <w:tcW w:w="5508" w:type="dxa"/>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b/>
                <w:bCs/>
                <w:color w:val="000000"/>
              </w:rPr>
              <w:t>CỘNG HÒA XÃ HỘI CHỦ NGHĨA VIỆT NAM</w:t>
            </w:r>
            <w:r w:rsidRPr="00083B26">
              <w:rPr>
                <w:b/>
                <w:bCs/>
                <w:color w:val="000000"/>
              </w:rPr>
              <w:br/>
              <w:t>Độc lập - Tự do - Hạnh phúc</w:t>
            </w:r>
            <w:r w:rsidRPr="00083B26">
              <w:rPr>
                <w:rStyle w:val="apple-converted-space"/>
                <w:b/>
                <w:bCs/>
                <w:color w:val="000000"/>
              </w:rPr>
              <w:t> </w:t>
            </w:r>
            <w:r w:rsidRPr="00083B26">
              <w:rPr>
                <w:b/>
                <w:bCs/>
                <w:color w:val="000000"/>
              </w:rPr>
              <w:br/>
              <w:t>---------------</w:t>
            </w:r>
          </w:p>
        </w:tc>
      </w:tr>
      <w:tr w:rsidR="00083B26" w:rsidRPr="00083B26" w:rsidTr="00083B26">
        <w:trPr>
          <w:tblCellSpacing w:w="0" w:type="dxa"/>
        </w:trPr>
        <w:tc>
          <w:tcPr>
            <w:tcW w:w="3348" w:type="dxa"/>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 xml:space="preserve">Số: </w:t>
            </w:r>
            <w:bookmarkStart w:id="0" w:name="_GoBack"/>
            <w:r w:rsidRPr="00083B26">
              <w:rPr>
                <w:color w:val="000000"/>
              </w:rPr>
              <w:t>19/2015/NQ-HĐND</w:t>
            </w:r>
            <w:bookmarkEnd w:id="0"/>
          </w:p>
        </w:tc>
        <w:tc>
          <w:tcPr>
            <w:tcW w:w="5508" w:type="dxa"/>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jc w:val="right"/>
              <w:rPr>
                <w:color w:val="000000"/>
              </w:rPr>
            </w:pPr>
            <w:r w:rsidRPr="00083B26">
              <w:rPr>
                <w:i/>
                <w:iCs/>
                <w:color w:val="000000"/>
              </w:rPr>
              <w:t>Nam Định, ngày 16 tháng 12 năm 2015</w:t>
            </w:r>
          </w:p>
        </w:tc>
      </w:tr>
    </w:tbl>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b/>
          <w:bCs/>
          <w:color w:val="000000"/>
        </w:rPr>
        <w:t> </w:t>
      </w:r>
    </w:p>
    <w:p w:rsidR="00083B26" w:rsidRPr="00083B26" w:rsidRDefault="00083B26" w:rsidP="00083B26">
      <w:pPr>
        <w:pStyle w:val="NormalWeb"/>
        <w:shd w:val="clear" w:color="auto" w:fill="FFFFFF"/>
        <w:spacing w:before="0" w:beforeAutospacing="0" w:after="0" w:afterAutospacing="0" w:line="360" w:lineRule="auto"/>
        <w:jc w:val="center"/>
        <w:rPr>
          <w:color w:val="000000"/>
        </w:rPr>
      </w:pPr>
      <w:bookmarkStart w:id="1" w:name="loai_1"/>
      <w:r w:rsidRPr="00083B26">
        <w:rPr>
          <w:b/>
          <w:bCs/>
          <w:color w:val="000000"/>
        </w:rPr>
        <w:t>NGHỊ QUYẾT</w:t>
      </w:r>
      <w:bookmarkEnd w:id="1"/>
    </w:p>
    <w:p w:rsidR="00083B26" w:rsidRPr="00083B26" w:rsidRDefault="00083B26" w:rsidP="00083B26">
      <w:pPr>
        <w:pStyle w:val="NormalWeb"/>
        <w:shd w:val="clear" w:color="auto" w:fill="FFFFFF"/>
        <w:spacing w:before="0" w:beforeAutospacing="0" w:after="0" w:afterAutospacing="0" w:line="360" w:lineRule="auto"/>
        <w:jc w:val="center"/>
        <w:rPr>
          <w:color w:val="000000"/>
        </w:rPr>
      </w:pPr>
      <w:bookmarkStart w:id="2" w:name="loai_1_name"/>
      <w:r w:rsidRPr="00083B26">
        <w:rPr>
          <w:color w:val="000000"/>
        </w:rPr>
        <w:t>V/V QUY ĐỊNH MỨC THU LỆ PHÍ ĐĂNG KÝ CƯ TRÚ TRÊN ĐỊA BÀN TỈNH NAM ĐỊNH</w:t>
      </w:r>
      <w:bookmarkEnd w:id="2"/>
    </w:p>
    <w:p w:rsidR="00083B26" w:rsidRPr="00083B26" w:rsidRDefault="00083B26" w:rsidP="00083B26">
      <w:pPr>
        <w:pStyle w:val="NormalWeb"/>
        <w:shd w:val="clear" w:color="auto" w:fill="FFFFFF"/>
        <w:spacing w:before="0" w:beforeAutospacing="0" w:after="120" w:afterAutospacing="0" w:line="360" w:lineRule="auto"/>
        <w:jc w:val="center"/>
        <w:rPr>
          <w:color w:val="000000"/>
        </w:rPr>
      </w:pPr>
      <w:r w:rsidRPr="00083B26">
        <w:rPr>
          <w:b/>
          <w:bCs/>
          <w:color w:val="000000"/>
          <w:lang w:val="de-DE"/>
        </w:rPr>
        <w:t>HỘI ĐỒNG NHÂN DÂN TỈNH NAM ĐỊNH</w:t>
      </w:r>
      <w:r w:rsidRPr="00083B26">
        <w:rPr>
          <w:b/>
          <w:bCs/>
          <w:color w:val="000000"/>
          <w:lang w:val="de-DE"/>
        </w:rPr>
        <w:br/>
        <w:t>KHÓA XVII, KỲ HỌP THỨ MƯỜI SÁU</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i/>
          <w:iCs/>
          <w:color w:val="000000"/>
          <w:lang w:val="de-DE"/>
        </w:rPr>
        <w:t>Căn cứ Luật Tổ chức HĐND và UBND ngày 26/11/2003;</w:t>
      </w:r>
    </w:p>
    <w:p w:rsidR="00083B26" w:rsidRPr="00083B26" w:rsidRDefault="00083B26" w:rsidP="00083B26">
      <w:pPr>
        <w:pStyle w:val="NormalWeb"/>
        <w:shd w:val="clear" w:color="auto" w:fill="FFFFFF"/>
        <w:spacing w:before="0" w:beforeAutospacing="0" w:after="0" w:afterAutospacing="0" w:line="360" w:lineRule="auto"/>
        <w:rPr>
          <w:color w:val="000000"/>
        </w:rPr>
      </w:pPr>
      <w:r w:rsidRPr="00083B26">
        <w:rPr>
          <w:i/>
          <w:iCs/>
          <w:color w:val="000000"/>
          <w:lang w:val="de-DE"/>
        </w:rPr>
        <w:t>Căn cứ Luật Cư trú năm 2006; Nghị định số</w:t>
      </w:r>
      <w:r w:rsidRPr="00083B26">
        <w:rPr>
          <w:rStyle w:val="apple-converted-space"/>
          <w:i/>
          <w:iCs/>
          <w:color w:val="000000"/>
          <w:lang w:val="de-DE"/>
        </w:rPr>
        <w:t> </w:t>
      </w:r>
      <w:r w:rsidRPr="00083B26">
        <w:rPr>
          <w:i/>
          <w:iCs/>
          <w:color w:val="000000"/>
          <w:lang w:val="de-DE"/>
        </w:rPr>
        <w:t>31/2014/NĐ-CP</w:t>
      </w:r>
      <w:r w:rsidRPr="00083B26">
        <w:rPr>
          <w:rStyle w:val="apple-converted-space"/>
          <w:i/>
          <w:iCs/>
          <w:color w:val="000000"/>
          <w:lang w:val="de-DE"/>
        </w:rPr>
        <w:t> </w:t>
      </w:r>
      <w:r w:rsidRPr="00083B26">
        <w:rPr>
          <w:i/>
          <w:iCs/>
          <w:color w:val="000000"/>
          <w:lang w:val="de-DE"/>
        </w:rPr>
        <w:t>ngày 18/4/2014 của Chính phủ quy định chi tiết một số điều và biện pháp thi hành Luật Cư trú;</w:t>
      </w:r>
    </w:p>
    <w:p w:rsidR="00083B26" w:rsidRPr="00083B26" w:rsidRDefault="00083B26" w:rsidP="00083B26">
      <w:pPr>
        <w:pStyle w:val="NormalWeb"/>
        <w:shd w:val="clear" w:color="auto" w:fill="FFFFFF"/>
        <w:spacing w:before="0" w:beforeAutospacing="0" w:after="0" w:afterAutospacing="0" w:line="360" w:lineRule="auto"/>
        <w:rPr>
          <w:color w:val="000000"/>
        </w:rPr>
      </w:pPr>
      <w:r w:rsidRPr="00083B26">
        <w:rPr>
          <w:i/>
          <w:iCs/>
          <w:color w:val="000000"/>
          <w:lang w:val="de-DE"/>
        </w:rPr>
        <w:t>Căn cứ Pháp lệnh phí và lệ phí số</w:t>
      </w:r>
      <w:r w:rsidRPr="00083B26">
        <w:rPr>
          <w:rStyle w:val="apple-converted-space"/>
          <w:i/>
          <w:iCs/>
          <w:color w:val="000000"/>
          <w:lang w:val="de-DE"/>
        </w:rPr>
        <w:t> </w:t>
      </w:r>
      <w:r w:rsidRPr="00083B26">
        <w:rPr>
          <w:i/>
          <w:iCs/>
          <w:color w:val="000000"/>
          <w:lang w:val="de-DE"/>
        </w:rPr>
        <w:t>38/PL-UBTVQH10</w:t>
      </w:r>
      <w:r w:rsidRPr="00083B26">
        <w:rPr>
          <w:rStyle w:val="apple-converted-space"/>
          <w:i/>
          <w:iCs/>
          <w:color w:val="000000"/>
          <w:lang w:val="de-DE"/>
        </w:rPr>
        <w:t> </w:t>
      </w:r>
      <w:r w:rsidRPr="00083B26">
        <w:rPr>
          <w:i/>
          <w:iCs/>
          <w:color w:val="000000"/>
          <w:lang w:val="de-DE"/>
        </w:rPr>
        <w:t>ngày 28/8/2001 của Ủy ban thường vụ Quốc hội; Nghị định</w:t>
      </w:r>
      <w:r w:rsidRPr="00083B26">
        <w:rPr>
          <w:rStyle w:val="apple-converted-space"/>
          <w:i/>
          <w:iCs/>
          <w:color w:val="000000"/>
          <w:lang w:val="de-DE"/>
        </w:rPr>
        <w:t> </w:t>
      </w:r>
      <w:r w:rsidRPr="00083B26">
        <w:rPr>
          <w:i/>
          <w:iCs/>
          <w:color w:val="000000"/>
          <w:lang w:val="de-DE"/>
        </w:rPr>
        <w:t>57/2002/NĐ-CP</w:t>
      </w:r>
      <w:r w:rsidRPr="00083B26">
        <w:rPr>
          <w:rStyle w:val="apple-converted-space"/>
          <w:i/>
          <w:iCs/>
          <w:color w:val="000000"/>
          <w:lang w:val="de-DE"/>
        </w:rPr>
        <w:t> </w:t>
      </w:r>
      <w:r w:rsidRPr="00083B26">
        <w:rPr>
          <w:i/>
          <w:iCs/>
          <w:color w:val="000000"/>
          <w:lang w:val="de-DE"/>
        </w:rPr>
        <w:t>ngày 03/6/2002 của Chính phủ quy định chi tiết thi hành Pháp lệnh phí và lệ phí; Nghị định số</w:t>
      </w:r>
      <w:r w:rsidRPr="00083B26">
        <w:rPr>
          <w:rStyle w:val="apple-converted-space"/>
          <w:i/>
          <w:iCs/>
          <w:color w:val="000000"/>
          <w:lang w:val="de-DE"/>
        </w:rPr>
        <w:t> </w:t>
      </w:r>
      <w:r w:rsidRPr="00083B26">
        <w:rPr>
          <w:i/>
          <w:iCs/>
          <w:color w:val="000000"/>
          <w:lang w:val="de-DE"/>
        </w:rPr>
        <w:t>24/2006/NĐ-CP</w:t>
      </w:r>
      <w:r w:rsidRPr="00083B26">
        <w:rPr>
          <w:rStyle w:val="apple-converted-space"/>
          <w:i/>
          <w:iCs/>
          <w:color w:val="000000"/>
          <w:lang w:val="de-DE"/>
        </w:rPr>
        <w:t> </w:t>
      </w:r>
      <w:r w:rsidRPr="00083B26">
        <w:rPr>
          <w:i/>
          <w:iCs/>
          <w:color w:val="000000"/>
          <w:lang w:val="de-DE"/>
        </w:rPr>
        <w:t>ngày 06/3/2006 của Chính phủ về việc sửa đổi, bổ sung một số điều của Nghị định 57/2002/NĐ-CP;</w:t>
      </w:r>
    </w:p>
    <w:p w:rsidR="00083B26" w:rsidRPr="00083B26" w:rsidRDefault="00083B26" w:rsidP="00083B26">
      <w:pPr>
        <w:pStyle w:val="NormalWeb"/>
        <w:shd w:val="clear" w:color="auto" w:fill="FFFFFF"/>
        <w:spacing w:before="0" w:beforeAutospacing="0" w:after="0" w:afterAutospacing="0" w:line="360" w:lineRule="auto"/>
        <w:rPr>
          <w:color w:val="000000"/>
        </w:rPr>
      </w:pPr>
      <w:r w:rsidRPr="00083B26">
        <w:rPr>
          <w:i/>
          <w:iCs/>
          <w:color w:val="000000"/>
          <w:lang w:val="de-DE"/>
        </w:rPr>
        <w:t>Căn cứ Thông tư số</w:t>
      </w:r>
      <w:r w:rsidRPr="00083B26">
        <w:rPr>
          <w:rStyle w:val="apple-converted-space"/>
          <w:i/>
          <w:iCs/>
          <w:color w:val="000000"/>
          <w:lang w:val="de-DE"/>
        </w:rPr>
        <w:t> </w:t>
      </w:r>
      <w:r w:rsidRPr="00083B26">
        <w:rPr>
          <w:i/>
          <w:iCs/>
          <w:color w:val="000000"/>
          <w:lang w:val="de-DE"/>
        </w:rPr>
        <w:t>63/2002/TT-BTC</w:t>
      </w:r>
      <w:r w:rsidRPr="00083B26">
        <w:rPr>
          <w:rStyle w:val="apple-converted-space"/>
          <w:i/>
          <w:iCs/>
          <w:color w:val="000000"/>
          <w:lang w:val="de-DE"/>
        </w:rPr>
        <w:t> </w:t>
      </w:r>
      <w:r w:rsidRPr="00083B26">
        <w:rPr>
          <w:i/>
          <w:iCs/>
          <w:color w:val="000000"/>
          <w:lang w:val="de-DE"/>
        </w:rPr>
        <w:t>ngày 24/7/2002 của Bộ Tài chính hướng dẫn thực hiện các quy định pháp luật về phí và lệ phí; Thông tư số</w:t>
      </w:r>
      <w:r w:rsidRPr="00083B26">
        <w:rPr>
          <w:rStyle w:val="apple-converted-space"/>
          <w:i/>
          <w:iCs/>
          <w:color w:val="000000"/>
          <w:lang w:val="de-DE"/>
        </w:rPr>
        <w:t> </w:t>
      </w:r>
      <w:r w:rsidRPr="00083B26">
        <w:rPr>
          <w:i/>
          <w:iCs/>
          <w:color w:val="000000"/>
          <w:lang w:val="de-DE"/>
        </w:rPr>
        <w:t>45/2006/TT-BTC</w:t>
      </w:r>
      <w:r w:rsidRPr="00083B26">
        <w:rPr>
          <w:rStyle w:val="apple-converted-space"/>
          <w:i/>
          <w:iCs/>
          <w:color w:val="000000"/>
          <w:lang w:val="de-DE"/>
        </w:rPr>
        <w:t> </w:t>
      </w:r>
      <w:r w:rsidRPr="00083B26">
        <w:rPr>
          <w:i/>
          <w:iCs/>
          <w:color w:val="000000"/>
          <w:lang w:val="de-DE"/>
        </w:rPr>
        <w:t>ngày 25/5/2006 của Bộ Tài chính sửa đổi, bổ sung Thông tư số</w:t>
      </w:r>
      <w:r w:rsidRPr="00083B26">
        <w:rPr>
          <w:rStyle w:val="apple-converted-space"/>
          <w:i/>
          <w:iCs/>
          <w:color w:val="0E70C3"/>
          <w:lang w:val="de-DE"/>
        </w:rPr>
        <w:t> </w:t>
      </w:r>
      <w:r w:rsidRPr="00083B26">
        <w:rPr>
          <w:i/>
          <w:iCs/>
          <w:color w:val="000000"/>
          <w:lang w:val="de-DE"/>
        </w:rPr>
        <w:t>63/TT-BTC</w:t>
      </w:r>
      <w:r w:rsidRPr="00083B26">
        <w:rPr>
          <w:rStyle w:val="apple-converted-space"/>
          <w:i/>
          <w:iCs/>
          <w:color w:val="000000"/>
          <w:lang w:val="de-DE"/>
        </w:rPr>
        <w:t> </w:t>
      </w:r>
      <w:r w:rsidRPr="00083B26">
        <w:rPr>
          <w:i/>
          <w:iCs/>
          <w:color w:val="000000"/>
          <w:lang w:val="de-DE"/>
        </w:rPr>
        <w:t>ngày 24/7/2002 của Bộ Tài chính;</w:t>
      </w:r>
    </w:p>
    <w:p w:rsidR="00083B26" w:rsidRPr="00083B26" w:rsidRDefault="00083B26" w:rsidP="00083B26">
      <w:pPr>
        <w:pStyle w:val="NormalWeb"/>
        <w:shd w:val="clear" w:color="auto" w:fill="FFFFFF"/>
        <w:spacing w:before="0" w:beforeAutospacing="0" w:after="0" w:afterAutospacing="0" w:line="360" w:lineRule="auto"/>
        <w:rPr>
          <w:color w:val="000000"/>
        </w:rPr>
      </w:pPr>
      <w:r w:rsidRPr="00083B26">
        <w:rPr>
          <w:i/>
          <w:iCs/>
          <w:color w:val="000000"/>
          <w:lang w:val="de-DE"/>
        </w:rPr>
        <w:t>Căn cứ Thông tư số</w:t>
      </w:r>
      <w:r w:rsidRPr="00083B26">
        <w:rPr>
          <w:rStyle w:val="apple-converted-space"/>
          <w:i/>
          <w:iCs/>
          <w:color w:val="000000"/>
          <w:lang w:val="de-DE"/>
        </w:rPr>
        <w:t> </w:t>
      </w:r>
      <w:r w:rsidRPr="00083B26">
        <w:rPr>
          <w:i/>
          <w:iCs/>
          <w:color w:val="000000"/>
          <w:lang w:val="de-DE"/>
        </w:rPr>
        <w:t>02/2014/TT-BTC</w:t>
      </w:r>
      <w:r w:rsidRPr="00083B26">
        <w:rPr>
          <w:rStyle w:val="apple-converted-space"/>
          <w:i/>
          <w:iCs/>
          <w:color w:val="000000"/>
          <w:lang w:val="de-DE"/>
        </w:rPr>
        <w:t> </w:t>
      </w:r>
      <w:r w:rsidRPr="00083B26">
        <w:rPr>
          <w:i/>
          <w:iCs/>
          <w:color w:val="000000"/>
          <w:lang w:val="de-DE"/>
        </w:rPr>
        <w:t>ngày 02/01/2014 của Bộ Tài chính hướng dẫn về phí và lệ phí thuộc thẩm quyền quyết định của Hội đồng nhân dân tỉnh, thành phố trực thuộc Trung ương;</w:t>
      </w:r>
    </w:p>
    <w:p w:rsidR="00083B26" w:rsidRPr="00083B26" w:rsidRDefault="00083B26" w:rsidP="00083B26">
      <w:pPr>
        <w:pStyle w:val="NormalWeb"/>
        <w:shd w:val="clear" w:color="auto" w:fill="FFFFFF"/>
        <w:spacing w:before="0" w:beforeAutospacing="0" w:after="0" w:afterAutospacing="0" w:line="360" w:lineRule="auto"/>
        <w:rPr>
          <w:color w:val="000000"/>
        </w:rPr>
      </w:pPr>
      <w:r w:rsidRPr="00083B26">
        <w:rPr>
          <w:i/>
          <w:iCs/>
          <w:color w:val="000000"/>
          <w:lang w:val="de-DE"/>
        </w:rPr>
        <w:t>Căn cứ Thông tư số</w:t>
      </w:r>
      <w:r w:rsidRPr="00083B26">
        <w:rPr>
          <w:rStyle w:val="apple-converted-space"/>
          <w:i/>
          <w:iCs/>
          <w:color w:val="000000"/>
          <w:lang w:val="de-DE"/>
        </w:rPr>
        <w:t> </w:t>
      </w:r>
      <w:r w:rsidRPr="00083B26">
        <w:rPr>
          <w:i/>
          <w:iCs/>
          <w:color w:val="000000"/>
          <w:lang w:val="de-DE"/>
        </w:rPr>
        <w:t>06/2008/TT-BCA-C11</w:t>
      </w:r>
      <w:r w:rsidRPr="00083B26">
        <w:rPr>
          <w:rStyle w:val="apple-converted-space"/>
          <w:i/>
          <w:iCs/>
          <w:color w:val="000000"/>
          <w:lang w:val="de-DE"/>
        </w:rPr>
        <w:t> </w:t>
      </w:r>
      <w:r w:rsidRPr="00083B26">
        <w:rPr>
          <w:i/>
          <w:iCs/>
          <w:color w:val="000000"/>
          <w:lang w:val="de-DE"/>
        </w:rPr>
        <w:t>ngày 27/05/2008 của Bộ Công an hướng dẫn một số điểm về lệ phí đăng ký cư trú, cấp Chứng minh nhân dân;</w:t>
      </w:r>
    </w:p>
    <w:p w:rsidR="00083B26" w:rsidRPr="00083B26" w:rsidRDefault="00083B26" w:rsidP="00083B26">
      <w:pPr>
        <w:pStyle w:val="NormalWeb"/>
        <w:shd w:val="clear" w:color="auto" w:fill="FFFFFF"/>
        <w:spacing w:before="0" w:beforeAutospacing="0" w:after="0" w:afterAutospacing="0" w:line="360" w:lineRule="auto"/>
        <w:rPr>
          <w:color w:val="000000"/>
        </w:rPr>
      </w:pPr>
      <w:r w:rsidRPr="00083B26">
        <w:rPr>
          <w:i/>
          <w:iCs/>
          <w:color w:val="000000"/>
          <w:lang w:val="de-DE"/>
        </w:rPr>
        <w:t>Căn cứ Thông tư số</w:t>
      </w:r>
      <w:r w:rsidRPr="00083B26">
        <w:rPr>
          <w:rStyle w:val="apple-converted-space"/>
          <w:i/>
          <w:iCs/>
          <w:color w:val="000000"/>
          <w:lang w:val="de-DE"/>
        </w:rPr>
        <w:t> </w:t>
      </w:r>
      <w:r w:rsidRPr="00083B26">
        <w:rPr>
          <w:i/>
          <w:iCs/>
          <w:color w:val="000000"/>
          <w:lang w:val="de-DE"/>
        </w:rPr>
        <w:t>155/2012/TT-BTC</w:t>
      </w:r>
      <w:r w:rsidRPr="00083B26">
        <w:rPr>
          <w:rStyle w:val="apple-converted-space"/>
          <w:i/>
          <w:iCs/>
          <w:color w:val="000000"/>
          <w:lang w:val="de-DE"/>
        </w:rPr>
        <w:t> </w:t>
      </w:r>
      <w:r w:rsidRPr="00083B26">
        <w:rPr>
          <w:i/>
          <w:iCs/>
          <w:color w:val="000000"/>
          <w:lang w:val="de-DE"/>
        </w:rPr>
        <w:t>ngày 20/9/2012 của Bộ Tài chính quy định mức thu, chế độ thu, nộp, quản lý và sử dụng lệ phí Chứng minh nhân dân mới;</w:t>
      </w:r>
    </w:p>
    <w:p w:rsidR="00083B26" w:rsidRPr="00083B26" w:rsidRDefault="00083B26" w:rsidP="00083B26">
      <w:pPr>
        <w:pStyle w:val="NormalWeb"/>
        <w:shd w:val="clear" w:color="auto" w:fill="FFFFFF"/>
        <w:spacing w:before="0" w:beforeAutospacing="0" w:after="0" w:afterAutospacing="0" w:line="360" w:lineRule="auto"/>
        <w:rPr>
          <w:color w:val="000000"/>
        </w:rPr>
      </w:pPr>
      <w:r w:rsidRPr="00083B26">
        <w:rPr>
          <w:i/>
          <w:iCs/>
          <w:color w:val="000000"/>
          <w:lang w:val="de-DE"/>
        </w:rPr>
        <w:lastRenderedPageBreak/>
        <w:t>Xét đề nghị tại Tờ trình số</w:t>
      </w:r>
      <w:r w:rsidRPr="00083B26">
        <w:rPr>
          <w:rStyle w:val="apple-converted-space"/>
          <w:i/>
          <w:iCs/>
          <w:color w:val="000000"/>
          <w:lang w:val="de-DE"/>
        </w:rPr>
        <w:t> </w:t>
      </w:r>
      <w:r w:rsidRPr="00083B26">
        <w:rPr>
          <w:i/>
          <w:iCs/>
          <w:color w:val="000000"/>
          <w:lang w:val="de-DE"/>
        </w:rPr>
        <w:t>181/TTr-UBND</w:t>
      </w:r>
      <w:r w:rsidRPr="00083B26">
        <w:rPr>
          <w:rStyle w:val="apple-converted-space"/>
          <w:i/>
          <w:iCs/>
          <w:color w:val="000000"/>
          <w:lang w:val="de-DE"/>
        </w:rPr>
        <w:t> </w:t>
      </w:r>
      <w:r w:rsidRPr="00083B26">
        <w:rPr>
          <w:i/>
          <w:iCs/>
          <w:color w:val="000000"/>
          <w:lang w:val="de-DE"/>
        </w:rPr>
        <w:t>ngày 11/11/2015 của UBND tỉnh về việc quy định đối tượng, mức thu, chế độ thu, nộp, quản lý và sử dụng lệ phí đăng ký cư trú trên địa bàn tỉnh Nam Định;</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i/>
          <w:iCs/>
          <w:color w:val="000000"/>
          <w:lang w:val="de-DE"/>
        </w:rPr>
        <w:t>Sau khi nghe báo cáo thẩm tra của Ban pháp chế Hội đồng nhân dân tỉnh và ý kiến của các đại biểu Hội đồng nhân dân tỉnh,</w:t>
      </w:r>
    </w:p>
    <w:p w:rsidR="00083B26" w:rsidRPr="00083B26" w:rsidRDefault="00083B26" w:rsidP="00083B26">
      <w:pPr>
        <w:pStyle w:val="NormalWeb"/>
        <w:shd w:val="clear" w:color="auto" w:fill="FFFFFF"/>
        <w:spacing w:before="0" w:beforeAutospacing="0" w:after="120" w:afterAutospacing="0" w:line="360" w:lineRule="auto"/>
        <w:jc w:val="center"/>
        <w:rPr>
          <w:color w:val="000000"/>
        </w:rPr>
      </w:pPr>
      <w:r w:rsidRPr="00083B26">
        <w:rPr>
          <w:b/>
          <w:bCs/>
          <w:color w:val="000000"/>
          <w:lang w:val="de-DE"/>
        </w:rPr>
        <w:t>QUYẾT NGHỊ:</w:t>
      </w:r>
    </w:p>
    <w:p w:rsidR="00083B26" w:rsidRPr="00083B26" w:rsidRDefault="00083B26" w:rsidP="00083B26">
      <w:pPr>
        <w:pStyle w:val="NormalWeb"/>
        <w:shd w:val="clear" w:color="auto" w:fill="FFFFFF"/>
        <w:spacing w:before="0" w:beforeAutospacing="0" w:after="0" w:afterAutospacing="0" w:line="360" w:lineRule="auto"/>
        <w:rPr>
          <w:color w:val="000000"/>
        </w:rPr>
      </w:pPr>
      <w:bookmarkStart w:id="3" w:name="dieu_1"/>
      <w:r w:rsidRPr="00083B26">
        <w:rPr>
          <w:b/>
          <w:bCs/>
          <w:color w:val="000000"/>
          <w:lang w:val="de-DE"/>
        </w:rPr>
        <w:t>Điều 1.</w:t>
      </w:r>
      <w:bookmarkEnd w:id="3"/>
      <w:r w:rsidRPr="00083B26">
        <w:rPr>
          <w:rStyle w:val="apple-converted-space"/>
          <w:color w:val="000000"/>
          <w:lang w:val="de-DE"/>
        </w:rPr>
        <w:t> </w:t>
      </w:r>
      <w:bookmarkStart w:id="4" w:name="dieu_1_name"/>
      <w:r w:rsidRPr="00083B26">
        <w:rPr>
          <w:color w:val="000000"/>
          <w:lang w:val="de-DE"/>
        </w:rPr>
        <w:t>Quy định mức thu lệ phí đăng ký cư trú trên địa bàn tỉnh Nam Định (Có biểu mức thu kèm theo).</w:t>
      </w:r>
      <w:bookmarkEnd w:id="4"/>
    </w:p>
    <w:p w:rsidR="00083B26" w:rsidRPr="00083B26" w:rsidRDefault="00083B26" w:rsidP="00083B26">
      <w:pPr>
        <w:pStyle w:val="NormalWeb"/>
        <w:shd w:val="clear" w:color="auto" w:fill="FFFFFF"/>
        <w:spacing w:before="0" w:beforeAutospacing="0" w:after="0" w:afterAutospacing="0" w:line="360" w:lineRule="auto"/>
        <w:rPr>
          <w:color w:val="000000"/>
        </w:rPr>
      </w:pPr>
      <w:bookmarkStart w:id="5" w:name="dieu_2"/>
      <w:r w:rsidRPr="00083B26">
        <w:rPr>
          <w:b/>
          <w:bCs/>
          <w:color w:val="000000"/>
          <w:lang w:val="de-DE"/>
        </w:rPr>
        <w:t>Điều 2.</w:t>
      </w:r>
      <w:bookmarkEnd w:id="5"/>
      <w:r w:rsidRPr="00083B26">
        <w:rPr>
          <w:rStyle w:val="apple-converted-space"/>
          <w:color w:val="000000"/>
          <w:lang w:val="de-DE"/>
        </w:rPr>
        <w:t> </w:t>
      </w:r>
      <w:bookmarkStart w:id="6" w:name="dieu_2_name"/>
      <w:r w:rsidRPr="00083B26">
        <w:rPr>
          <w:color w:val="000000"/>
          <w:lang w:val="de-DE"/>
        </w:rPr>
        <w:t>Cơ quan thu lệ phí đăng ký cư trú được trích 90% (Chín mươi phần trăm) trên tổng số lệ phí thu được để chi cho việc đăng ký cư trú theo quy định, số còn lại 10% (Mười phần trăm) nộp vào ngân sách nhà nước.</w:t>
      </w:r>
      <w:bookmarkEnd w:id="6"/>
    </w:p>
    <w:p w:rsidR="00083B26" w:rsidRPr="00083B26" w:rsidRDefault="00083B26" w:rsidP="00083B26">
      <w:pPr>
        <w:pStyle w:val="NormalWeb"/>
        <w:shd w:val="clear" w:color="auto" w:fill="FFFFFF"/>
        <w:spacing w:before="0" w:beforeAutospacing="0" w:after="0" w:afterAutospacing="0" w:line="360" w:lineRule="auto"/>
        <w:rPr>
          <w:color w:val="000000"/>
        </w:rPr>
      </w:pPr>
      <w:bookmarkStart w:id="7" w:name="dieu_3"/>
      <w:r w:rsidRPr="00083B26">
        <w:rPr>
          <w:b/>
          <w:bCs/>
          <w:color w:val="000000"/>
          <w:lang w:val="de-DE"/>
        </w:rPr>
        <w:t>Điều 3.</w:t>
      </w:r>
      <w:bookmarkEnd w:id="7"/>
      <w:r w:rsidRPr="00083B26">
        <w:rPr>
          <w:rStyle w:val="apple-converted-space"/>
          <w:color w:val="000000"/>
          <w:lang w:val="de-DE"/>
        </w:rPr>
        <w:t> </w:t>
      </w:r>
      <w:bookmarkStart w:id="8" w:name="dieu_3_name"/>
      <w:r w:rsidRPr="00083B26">
        <w:rPr>
          <w:color w:val="000000"/>
          <w:lang w:val="de-DE"/>
        </w:rPr>
        <w:t>Nghị quyết này có hiệu lực thi hành kể từ ngày 01/01/2016 và thay thế Nghị quyết số</w:t>
      </w:r>
      <w:bookmarkEnd w:id="8"/>
      <w:r w:rsidRPr="00083B26">
        <w:rPr>
          <w:color w:val="000000"/>
          <w:lang w:val="de-DE"/>
        </w:rPr>
        <w:t>87/2008/NQ-HĐND</w:t>
      </w:r>
      <w:r w:rsidRPr="00083B26">
        <w:rPr>
          <w:rStyle w:val="apple-converted-space"/>
          <w:color w:val="000000"/>
          <w:lang w:val="de-DE"/>
        </w:rPr>
        <w:t> </w:t>
      </w:r>
      <w:r w:rsidRPr="00083B26">
        <w:rPr>
          <w:color w:val="000000"/>
          <w:lang w:val="de-DE"/>
        </w:rPr>
        <w:t>ngày 03/7/2008 của HĐND tỉnh Nam Định về việc quy định mức thu Lệ phí đăng ký cư trú và Lệ phí cấp Chứng minh nhân dân.</w:t>
      </w:r>
    </w:p>
    <w:p w:rsidR="00083B26" w:rsidRPr="00083B26" w:rsidRDefault="00083B26" w:rsidP="00083B26">
      <w:pPr>
        <w:pStyle w:val="NormalWeb"/>
        <w:shd w:val="clear" w:color="auto" w:fill="FFFFFF"/>
        <w:spacing w:before="0" w:beforeAutospacing="0" w:after="0" w:afterAutospacing="0" w:line="360" w:lineRule="auto"/>
        <w:rPr>
          <w:color w:val="000000"/>
        </w:rPr>
      </w:pPr>
      <w:bookmarkStart w:id="9" w:name="dieu_4"/>
      <w:r w:rsidRPr="00083B26">
        <w:rPr>
          <w:b/>
          <w:bCs/>
          <w:color w:val="000000"/>
          <w:lang w:val="de-DE"/>
        </w:rPr>
        <w:t>Điều 4.</w:t>
      </w:r>
      <w:bookmarkEnd w:id="9"/>
      <w:r w:rsidRPr="00083B26">
        <w:rPr>
          <w:rStyle w:val="apple-converted-space"/>
          <w:color w:val="000000"/>
          <w:lang w:val="de-DE"/>
        </w:rPr>
        <w:t> </w:t>
      </w:r>
      <w:bookmarkStart w:id="10" w:name="dieu_4_name"/>
      <w:r w:rsidRPr="00083B26">
        <w:rPr>
          <w:color w:val="000000"/>
          <w:lang w:val="de-DE"/>
        </w:rPr>
        <w:t>Giao Ủy ban nhân dân tỉnh quy định cụ thể về chế độ thu, nộp, quản lý và sử dụng lệ phí đăng ký cư trú trên địa bàn tỉnh Nam Định và tổ chức thực hiện Nghị quyết.</w:t>
      </w:r>
      <w:bookmarkEnd w:id="10"/>
    </w:p>
    <w:p w:rsidR="00083B26" w:rsidRPr="00083B26" w:rsidRDefault="00083B26" w:rsidP="00083B26">
      <w:pPr>
        <w:pStyle w:val="NormalWeb"/>
        <w:shd w:val="clear" w:color="auto" w:fill="FFFFFF"/>
        <w:spacing w:before="0" w:beforeAutospacing="0" w:after="0" w:afterAutospacing="0" w:line="360" w:lineRule="auto"/>
        <w:rPr>
          <w:color w:val="000000"/>
        </w:rPr>
      </w:pPr>
      <w:bookmarkStart w:id="11" w:name="dieu_5"/>
      <w:r w:rsidRPr="00083B26">
        <w:rPr>
          <w:b/>
          <w:bCs/>
          <w:color w:val="000000"/>
          <w:lang w:val="de-DE"/>
        </w:rPr>
        <w:t>Điều 5.</w:t>
      </w:r>
      <w:bookmarkEnd w:id="11"/>
      <w:r w:rsidRPr="00083B26">
        <w:rPr>
          <w:rStyle w:val="apple-converted-space"/>
          <w:color w:val="000000"/>
          <w:lang w:val="de-DE"/>
        </w:rPr>
        <w:t> </w:t>
      </w:r>
      <w:bookmarkStart w:id="12" w:name="dieu_5_name"/>
      <w:r w:rsidRPr="00083B26">
        <w:rPr>
          <w:color w:val="000000"/>
          <w:lang w:val="de-DE"/>
        </w:rPr>
        <w:t>Thường trực Hội đồng nhân dân, các Ban của Hội đồng nhân dân và các đại biểu Hội đồng nhân dân tỉnh giám sát việc thực hiện Nghị quyết.</w:t>
      </w:r>
      <w:bookmarkEnd w:id="12"/>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color w:val="000000"/>
          <w:lang w:val="de-DE"/>
        </w:rPr>
        <w:t>Nghị quyết này đã được Hội đồng nhân dân tỉnh khóa XVII, kỳ họp thứ mười sáu thông qua./.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783"/>
        <w:gridCol w:w="4793"/>
      </w:tblGrid>
      <w:tr w:rsidR="00083B26" w:rsidRPr="00083B26" w:rsidTr="00083B26">
        <w:trPr>
          <w:tblCellSpacing w:w="0" w:type="dxa"/>
        </w:trPr>
        <w:tc>
          <w:tcPr>
            <w:tcW w:w="4783" w:type="dxa"/>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rPr>
                <w:color w:val="000000"/>
              </w:rPr>
            </w:pPr>
            <w:r w:rsidRPr="00083B26">
              <w:rPr>
                <w:b/>
                <w:bCs/>
                <w:i/>
                <w:iCs/>
                <w:color w:val="000000"/>
                <w:lang w:val="de-DE"/>
              </w:rPr>
              <w:t> </w:t>
            </w:r>
          </w:p>
          <w:p w:rsidR="00083B26" w:rsidRPr="00083B26" w:rsidRDefault="00083B26" w:rsidP="00083B26">
            <w:pPr>
              <w:pStyle w:val="NormalWeb"/>
              <w:spacing w:before="0" w:beforeAutospacing="0" w:after="120" w:afterAutospacing="0" w:line="360" w:lineRule="auto"/>
              <w:rPr>
                <w:color w:val="000000"/>
              </w:rPr>
            </w:pPr>
            <w:r w:rsidRPr="00083B26">
              <w:rPr>
                <w:b/>
                <w:bCs/>
                <w:i/>
                <w:iCs/>
                <w:color w:val="000000"/>
                <w:lang w:val="de-DE"/>
              </w:rPr>
              <w:t>Nơi nhận:</w:t>
            </w:r>
            <w:r w:rsidRPr="00083B26">
              <w:rPr>
                <w:b/>
                <w:bCs/>
                <w:i/>
                <w:iCs/>
                <w:color w:val="000000"/>
                <w:lang w:val="de-DE"/>
              </w:rPr>
              <w:br/>
            </w:r>
            <w:r w:rsidRPr="00083B26">
              <w:rPr>
                <w:color w:val="000000"/>
                <w:lang w:val="de-DE"/>
              </w:rPr>
              <w:t>- Ủy ban Thường vụ Quốc hội;</w:t>
            </w:r>
            <w:r w:rsidRPr="00083B26">
              <w:rPr>
                <w:color w:val="000000"/>
                <w:lang w:val="de-DE"/>
              </w:rPr>
              <w:br/>
              <w:t>- Chính phủ;</w:t>
            </w:r>
            <w:r w:rsidRPr="00083B26">
              <w:rPr>
                <w:color w:val="000000"/>
                <w:lang w:val="de-DE"/>
              </w:rPr>
              <w:br/>
              <w:t>- Bộ Tư pháp, Bộ Tài chính:</w:t>
            </w:r>
            <w:r w:rsidRPr="00083B26">
              <w:rPr>
                <w:color w:val="000000"/>
                <w:lang w:val="de-DE"/>
              </w:rPr>
              <w:br/>
              <w:t>- Như Điều 3, Điều 4;</w:t>
            </w:r>
            <w:r w:rsidRPr="00083B26">
              <w:rPr>
                <w:color w:val="000000"/>
                <w:lang w:val="de-DE"/>
              </w:rPr>
              <w:br/>
              <w:t>- Đoàn đại biểu Quốc hội tỉnh;</w:t>
            </w:r>
            <w:r w:rsidRPr="00083B26">
              <w:rPr>
                <w:color w:val="000000"/>
                <w:lang w:val="de-DE"/>
              </w:rPr>
              <w:br/>
            </w:r>
            <w:r w:rsidRPr="00083B26">
              <w:rPr>
                <w:color w:val="000000"/>
                <w:lang w:val="de-DE"/>
              </w:rPr>
              <w:lastRenderedPageBreak/>
              <w:t>- Ủy ban Mặt trận tổ quốc tỉnh;</w:t>
            </w:r>
            <w:r w:rsidRPr="00083B26">
              <w:rPr>
                <w:color w:val="000000"/>
                <w:lang w:val="de-DE"/>
              </w:rPr>
              <w:br/>
              <w:t>- Các sở, ban, ngành, đoàn thể của tỉnh;</w:t>
            </w:r>
            <w:r w:rsidRPr="00083B26">
              <w:rPr>
                <w:color w:val="000000"/>
                <w:lang w:val="de-DE"/>
              </w:rPr>
              <w:br/>
              <w:t>- HĐND thành phố Nam Định;</w:t>
            </w:r>
            <w:r w:rsidRPr="00083B26">
              <w:rPr>
                <w:color w:val="000000"/>
                <w:lang w:val="de-DE"/>
              </w:rPr>
              <w:br/>
              <w:t>- UBND các huyện, thành phố Nam Định;</w:t>
            </w:r>
            <w:r w:rsidRPr="00083B26">
              <w:rPr>
                <w:color w:val="000000"/>
                <w:lang w:val="de-DE"/>
              </w:rPr>
              <w:br/>
              <w:t>- Báo Nam Định, Công báo tỉnh;</w:t>
            </w:r>
            <w:r w:rsidRPr="00083B26">
              <w:rPr>
                <w:color w:val="000000"/>
                <w:lang w:val="de-DE"/>
              </w:rPr>
              <w:br/>
              <w:t>- Website Chính phủ, Website tỉnh;</w:t>
            </w:r>
            <w:r w:rsidRPr="00083B26">
              <w:rPr>
                <w:color w:val="000000"/>
                <w:lang w:val="de-DE"/>
              </w:rPr>
              <w:br/>
            </w:r>
            <w:r w:rsidRPr="00083B26">
              <w:rPr>
                <w:color w:val="000000"/>
              </w:rPr>
              <w:t>- Lưu: VT.</w:t>
            </w:r>
          </w:p>
        </w:tc>
        <w:tc>
          <w:tcPr>
            <w:tcW w:w="4793" w:type="dxa"/>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b/>
                <w:bCs/>
                <w:color w:val="000000"/>
              </w:rPr>
              <w:lastRenderedPageBreak/>
              <w:t>CHỦ TỊCH</w:t>
            </w:r>
            <w:r w:rsidRPr="00083B26">
              <w:rPr>
                <w:b/>
                <w:bCs/>
                <w:color w:val="000000"/>
              </w:rPr>
              <w:br/>
            </w:r>
            <w:r w:rsidRPr="00083B26">
              <w:rPr>
                <w:b/>
                <w:bCs/>
                <w:color w:val="000000"/>
              </w:rPr>
              <w:br/>
            </w:r>
            <w:r w:rsidRPr="00083B26">
              <w:rPr>
                <w:b/>
                <w:bCs/>
                <w:color w:val="000000"/>
              </w:rPr>
              <w:br/>
            </w:r>
            <w:r w:rsidRPr="00083B26">
              <w:rPr>
                <w:b/>
                <w:bCs/>
                <w:color w:val="000000"/>
              </w:rPr>
              <w:br/>
            </w:r>
            <w:r w:rsidRPr="00083B26">
              <w:rPr>
                <w:b/>
                <w:bCs/>
                <w:color w:val="000000"/>
              </w:rPr>
              <w:br/>
              <w:t>Trần Văn Chung</w:t>
            </w:r>
          </w:p>
        </w:tc>
      </w:tr>
    </w:tbl>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b/>
          <w:bCs/>
          <w:color w:val="000000"/>
        </w:rPr>
        <w:lastRenderedPageBreak/>
        <w:t> </w:t>
      </w:r>
    </w:p>
    <w:p w:rsidR="00083B26" w:rsidRPr="00083B26" w:rsidRDefault="00083B26" w:rsidP="00083B26">
      <w:pPr>
        <w:pStyle w:val="NormalWeb"/>
        <w:shd w:val="clear" w:color="auto" w:fill="FFFFFF"/>
        <w:spacing w:before="0" w:beforeAutospacing="0" w:after="0" w:afterAutospacing="0" w:line="360" w:lineRule="auto"/>
        <w:jc w:val="center"/>
        <w:rPr>
          <w:color w:val="000000"/>
        </w:rPr>
      </w:pPr>
      <w:bookmarkStart w:id="13" w:name="loai_2"/>
      <w:r w:rsidRPr="00083B26">
        <w:rPr>
          <w:b/>
          <w:bCs/>
          <w:color w:val="000000"/>
        </w:rPr>
        <w:t>BIỂU MỨC THU</w:t>
      </w:r>
      <w:bookmarkEnd w:id="13"/>
    </w:p>
    <w:p w:rsidR="00083B26" w:rsidRPr="00083B26" w:rsidRDefault="00083B26" w:rsidP="00083B26">
      <w:pPr>
        <w:pStyle w:val="NormalWeb"/>
        <w:shd w:val="clear" w:color="auto" w:fill="FFFFFF"/>
        <w:spacing w:before="0" w:beforeAutospacing="0" w:after="0" w:afterAutospacing="0" w:line="360" w:lineRule="auto"/>
        <w:jc w:val="center"/>
        <w:rPr>
          <w:color w:val="000000"/>
        </w:rPr>
      </w:pPr>
      <w:bookmarkStart w:id="14" w:name="loai_2_name"/>
      <w:r w:rsidRPr="00083B26">
        <w:rPr>
          <w:b/>
          <w:bCs/>
          <w:color w:val="000000"/>
        </w:rPr>
        <w:t>Lệ phí đăng ký cư trú trên địa bàn tỉnh Nam Định</w:t>
      </w:r>
      <w:bookmarkEnd w:id="14"/>
    </w:p>
    <w:p w:rsidR="00083B26" w:rsidRPr="00083B26" w:rsidRDefault="00083B26" w:rsidP="00083B26">
      <w:pPr>
        <w:pStyle w:val="NormalWeb"/>
        <w:shd w:val="clear" w:color="auto" w:fill="FFFFFF"/>
        <w:spacing w:before="0" w:beforeAutospacing="0" w:after="120" w:afterAutospacing="0" w:line="360" w:lineRule="auto"/>
        <w:jc w:val="center"/>
        <w:rPr>
          <w:color w:val="000000"/>
        </w:rPr>
      </w:pPr>
      <w:r w:rsidRPr="00083B26">
        <w:rPr>
          <w:i/>
          <w:iCs/>
          <w:color w:val="000000"/>
        </w:rPr>
        <w:t>(Ban hành kèm theo Nghị quyết số 19/2015/NQ-HĐND ngày 16/12/2015 của Hội đồng nhân dân tỉnh Nam Định)</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b/>
          <w:bCs/>
          <w:color w:val="000000"/>
        </w:rPr>
        <w:t>I. MỨC THU LỆ PHÍ ĐĂNG KÝ CƯ TRÚ:</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5"/>
        <w:gridCol w:w="3839"/>
        <w:gridCol w:w="1946"/>
        <w:gridCol w:w="1828"/>
        <w:gridCol w:w="1358"/>
      </w:tblGrid>
      <w:tr w:rsidR="00083B26" w:rsidRPr="00083B26" w:rsidTr="00083B26">
        <w:trPr>
          <w:tblCellSpacing w:w="0" w:type="dxa"/>
        </w:trPr>
        <w:tc>
          <w:tcPr>
            <w:tcW w:w="64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b/>
                <w:bCs/>
                <w:color w:val="000000"/>
              </w:rPr>
              <w:t>TT</w:t>
            </w:r>
          </w:p>
        </w:tc>
        <w:tc>
          <w:tcPr>
            <w:tcW w:w="396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b/>
                <w:bCs/>
                <w:color w:val="000000"/>
              </w:rPr>
              <w:t>Danh mục thu</w:t>
            </w:r>
          </w:p>
          <w:p w:rsidR="00083B26" w:rsidRPr="00083B26" w:rsidRDefault="00083B26" w:rsidP="00083B26">
            <w:pPr>
              <w:pStyle w:val="NormalWeb"/>
              <w:spacing w:before="0" w:beforeAutospacing="0" w:after="120" w:afterAutospacing="0" w:line="360" w:lineRule="auto"/>
              <w:jc w:val="center"/>
              <w:rPr>
                <w:color w:val="000000"/>
              </w:rPr>
            </w:pPr>
            <w:r w:rsidRPr="00083B26">
              <w:rPr>
                <w:b/>
                <w:bCs/>
                <w:color w:val="000000"/>
              </w:rPr>
              <w:t>Lệ phí đăng ký cư trú</w:t>
            </w:r>
          </w:p>
        </w:tc>
        <w:tc>
          <w:tcPr>
            <w:tcW w:w="198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b/>
                <w:bCs/>
                <w:color w:val="000000"/>
              </w:rPr>
              <w:t>Đơn vị tính</w:t>
            </w:r>
          </w:p>
        </w:tc>
        <w:tc>
          <w:tcPr>
            <w:tcW w:w="324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b/>
                <w:bCs/>
                <w:color w:val="000000"/>
              </w:rPr>
              <w:t>Mức thu</w:t>
            </w:r>
          </w:p>
        </w:tc>
      </w:tr>
      <w:tr w:rsidR="00083B26" w:rsidRPr="00083B26" w:rsidTr="00083B26">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83B26" w:rsidRPr="00083B26" w:rsidRDefault="00083B26" w:rsidP="00083B26">
            <w:pPr>
              <w:spacing w:line="360" w:lineRule="auto"/>
              <w:rPr>
                <w:rFonts w:ascii="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83B26" w:rsidRPr="00083B26" w:rsidRDefault="00083B26" w:rsidP="00083B26">
            <w:pPr>
              <w:spacing w:line="360" w:lineRule="auto"/>
              <w:rPr>
                <w:rFonts w:ascii="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083B26" w:rsidRPr="00083B26" w:rsidRDefault="00083B26" w:rsidP="00083B26">
            <w:pPr>
              <w:spacing w:line="360" w:lineRule="auto"/>
              <w:rPr>
                <w:rFonts w:ascii="Times New Roman" w:hAnsi="Times New Roman"/>
                <w:color w:val="000000"/>
                <w:sz w:val="24"/>
                <w:szCs w:val="24"/>
              </w:rPr>
            </w:pP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Các phường</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Các xã, thị trấn</w:t>
            </w:r>
          </w:p>
        </w:tc>
      </w:tr>
      <w:tr w:rsidR="00083B26" w:rsidRPr="00083B26" w:rsidTr="00083B26">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rPr>
                <w:color w:val="000000"/>
              </w:rPr>
            </w:pPr>
            <w:r w:rsidRPr="00083B26">
              <w:rPr>
                <w:color w:val="000000"/>
              </w:rPr>
              <w:t>1</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rPr>
                <w:color w:val="000000"/>
              </w:rPr>
            </w:pPr>
            <w:r w:rsidRPr="00083B26">
              <w:rPr>
                <w:color w:val="000000"/>
                <w:lang w:val="de-DE"/>
              </w:rPr>
              <w:t>Đăng ký thường trú, đăng ký tạm trú cả hộ hoặc một người nhưng không cấp sổ hộ khẩu, sổ tạm trú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Đồng/lần đăng ký</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15.000</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7.000</w:t>
            </w:r>
          </w:p>
        </w:tc>
      </w:tr>
      <w:tr w:rsidR="00083B26" w:rsidRPr="00083B26" w:rsidTr="00083B26">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rPr>
                <w:color w:val="000000"/>
              </w:rPr>
            </w:pPr>
            <w:r w:rsidRPr="00083B26">
              <w:rPr>
                <w:color w:val="000000"/>
              </w:rPr>
              <w:t>2</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rPr>
                <w:color w:val="000000"/>
              </w:rPr>
            </w:pPr>
            <w:r w:rsidRPr="00083B26">
              <w:rPr>
                <w:color w:val="000000"/>
                <w:lang w:val="de-DE"/>
              </w:rPr>
              <w:t>Cấp mới, Cấp lại, đổi sổ hộ khẩu, sổ tạm trú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Đồng/lần cấp</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20.000</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10.000</w:t>
            </w:r>
          </w:p>
        </w:tc>
      </w:tr>
      <w:tr w:rsidR="00083B26" w:rsidRPr="00083B26" w:rsidTr="00083B26">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rPr>
                <w:color w:val="000000"/>
              </w:rPr>
            </w:pPr>
            <w:r w:rsidRPr="00083B26">
              <w:rPr>
                <w:color w:val="000000"/>
              </w:rPr>
              <w:t>3</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rPr>
                <w:color w:val="000000"/>
              </w:rPr>
            </w:pPr>
            <w:r w:rsidRPr="00083B26">
              <w:rPr>
                <w:color w:val="000000"/>
                <w:lang w:val="de-DE"/>
              </w:rPr>
              <w:t xml:space="preserve">Riêng cấp đổi sổ hộ khẩu, sổ tạm trú theo yêu cầu của chủ hộ vì lý do nhà nước thay đổi địa giới hành chính, </w:t>
            </w:r>
            <w:r w:rsidRPr="00083B26">
              <w:rPr>
                <w:color w:val="000000"/>
                <w:lang w:val="de-DE"/>
              </w:rPr>
              <w:lastRenderedPageBreak/>
              <w:t>tên đường phố, số nhà</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lastRenderedPageBreak/>
              <w:t>Đồng/lần cấp</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10.000</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5.000</w:t>
            </w:r>
          </w:p>
        </w:tc>
      </w:tr>
      <w:tr w:rsidR="00083B26" w:rsidRPr="00083B26" w:rsidTr="00083B26">
        <w:trPr>
          <w:tblCellSpacing w:w="0" w:type="dxa"/>
        </w:trPr>
        <w:tc>
          <w:tcPr>
            <w:tcW w:w="6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rPr>
                <w:color w:val="000000"/>
              </w:rPr>
            </w:pPr>
            <w:r w:rsidRPr="00083B26">
              <w:rPr>
                <w:color w:val="000000"/>
              </w:rPr>
              <w:lastRenderedPageBreak/>
              <w:t>4</w:t>
            </w:r>
          </w:p>
        </w:tc>
        <w:tc>
          <w:tcPr>
            <w:tcW w:w="39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rPr>
                <w:color w:val="000000"/>
              </w:rPr>
            </w:pPr>
            <w:r w:rsidRPr="00083B26">
              <w:rPr>
                <w:color w:val="000000"/>
                <w:lang w:val="de-DE"/>
              </w:rPr>
              <w:t>Đính chính các thay đổi trong sổ hộ khẩu, sổ tạm trú (không thu lệ phí đối với trường hợp chính lại địa chỉ do Nhà nước thay đổi địa giới hành chính, đường phố, số nhà, xóa tên trong sổ hộ khẩu, sổ tạm trú).</w:t>
            </w:r>
          </w:p>
        </w:tc>
        <w:tc>
          <w:tcPr>
            <w:tcW w:w="1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Đồng/lần đính chính</w:t>
            </w:r>
          </w:p>
        </w:tc>
        <w:tc>
          <w:tcPr>
            <w:tcW w:w="1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8.000</w:t>
            </w:r>
          </w:p>
        </w:tc>
        <w:tc>
          <w:tcPr>
            <w:tcW w:w="13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83B26" w:rsidRPr="00083B26" w:rsidRDefault="00083B26" w:rsidP="00083B26">
            <w:pPr>
              <w:pStyle w:val="NormalWeb"/>
              <w:spacing w:before="0" w:beforeAutospacing="0" w:after="120" w:afterAutospacing="0" w:line="360" w:lineRule="auto"/>
              <w:jc w:val="center"/>
              <w:rPr>
                <w:color w:val="000000"/>
              </w:rPr>
            </w:pPr>
            <w:r w:rsidRPr="00083B26">
              <w:rPr>
                <w:color w:val="000000"/>
              </w:rPr>
              <w:t>4.000</w:t>
            </w:r>
          </w:p>
        </w:tc>
      </w:tr>
    </w:tbl>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b/>
          <w:bCs/>
          <w:color w:val="000000"/>
        </w:rPr>
        <w:t>II. CÁC TRƯỜNG HỢP KHÔNG THU LỆ PHÍ ĐĂNG KÝ CƯ TRÚ:</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color w:val="000000"/>
        </w:rPr>
        <w:t>1. Bố, mẹ, vợ (hoặc chồng) của liệt sỹ, con dưới 18 tuổi của liệt sỹ; thương binh, con dưới 18 tuổi của thương binh; Bà mẹ Việt Nam anh hùng.</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color w:val="000000"/>
        </w:rPr>
        <w:t>2. Hộ gia đình thuộc diện hộ nghèo.</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b/>
          <w:bCs/>
          <w:color w:val="000000"/>
        </w:rPr>
        <w:t>III. CÁC TRƯỜNG HỢP MIỄN THU LỆ PHÍ ĐĂNG KÝ CƯ TRÚ:</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color w:val="000000"/>
        </w:rPr>
        <w:t>1. Cấp mới sổ tạm trú.</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color w:val="000000"/>
        </w:rPr>
        <w:t>2. Cấp mới sổ hộ khẩu thuộc một trong các trường hợp sau:</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color w:val="000000"/>
        </w:rPr>
        <w:t>a)</w:t>
      </w:r>
      <w:r w:rsidRPr="00083B26">
        <w:rPr>
          <w:rStyle w:val="apple-converted-space"/>
          <w:b/>
          <w:bCs/>
          <w:color w:val="000000"/>
        </w:rPr>
        <w:t> </w:t>
      </w:r>
      <w:r w:rsidRPr="00083B26">
        <w:rPr>
          <w:color w:val="000000"/>
        </w:rPr>
        <w:t>Trước đây chưa được cấp sổ hộ khẩu do không xác định được nơi đăng ký thường trú hoặc đã đăng ký thường trú nhưng chưa được cấp sổ hộ khẩu, nay được cấp sổ hộ khẩu mới theo quy định của Luật cư trú;</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color w:val="000000"/>
        </w:rPr>
        <w:t>b)</w:t>
      </w:r>
      <w:r w:rsidRPr="00083B26">
        <w:rPr>
          <w:rStyle w:val="apple-converted-space"/>
          <w:b/>
          <w:bCs/>
          <w:color w:val="000000"/>
        </w:rPr>
        <w:t> </w:t>
      </w:r>
      <w:r w:rsidRPr="00083B26">
        <w:rPr>
          <w:color w:val="000000"/>
        </w:rPr>
        <w:t>Chuyển nơi đăng ký thường trú ra ngoài phạm vi thành phố Nam Định; ra ngoài xã, thị trấn thuộc huyện và được cấp sổ hộ khẩu mới, trừ trường hợp chuyển cả hộ gia đình;</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color w:val="000000"/>
        </w:rPr>
        <w:t>c)</w:t>
      </w:r>
      <w:r w:rsidRPr="00083B26">
        <w:rPr>
          <w:rStyle w:val="apple-converted-space"/>
          <w:b/>
          <w:bCs/>
          <w:color w:val="000000"/>
        </w:rPr>
        <w:t> </w:t>
      </w:r>
      <w:r w:rsidRPr="00083B26">
        <w:rPr>
          <w:color w:val="000000"/>
        </w:rPr>
        <w:t>Tách sổ hộ khẩu.</w:t>
      </w:r>
    </w:p>
    <w:p w:rsidR="00083B26" w:rsidRPr="00083B26" w:rsidRDefault="00083B26" w:rsidP="00083B26">
      <w:pPr>
        <w:pStyle w:val="NormalWeb"/>
        <w:shd w:val="clear" w:color="auto" w:fill="FFFFFF"/>
        <w:spacing w:before="0" w:beforeAutospacing="0" w:after="120" w:afterAutospacing="0" w:line="360" w:lineRule="auto"/>
        <w:rPr>
          <w:color w:val="000000"/>
        </w:rPr>
      </w:pPr>
      <w:r w:rsidRPr="00083B26">
        <w:rPr>
          <w:color w:val="000000"/>
        </w:rPr>
        <w:t> </w:t>
      </w:r>
    </w:p>
    <w:p w:rsidR="00450888" w:rsidRPr="00083B26" w:rsidRDefault="00450888" w:rsidP="00083B26">
      <w:pPr>
        <w:spacing w:line="360" w:lineRule="auto"/>
        <w:rPr>
          <w:rFonts w:ascii="Times New Roman" w:hAnsi="Times New Roman"/>
          <w:sz w:val="24"/>
          <w:szCs w:val="24"/>
        </w:rPr>
      </w:pPr>
    </w:p>
    <w:sectPr w:rsidR="00450888" w:rsidRPr="00083B2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DE0" w:rsidRDefault="00437DE0" w:rsidP="00083B26">
      <w:pPr>
        <w:spacing w:after="0" w:line="240" w:lineRule="auto"/>
      </w:pPr>
      <w:r>
        <w:separator/>
      </w:r>
    </w:p>
  </w:endnote>
  <w:endnote w:type="continuationSeparator" w:id="0">
    <w:p w:rsidR="00437DE0" w:rsidRDefault="00437DE0" w:rsidP="00083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B26" w:rsidRPr="00A67571" w:rsidRDefault="00083B26" w:rsidP="00083B26">
    <w:pPr>
      <w:pStyle w:val="Footer"/>
      <w:rPr>
        <w:rFonts w:ascii="Times New Roman" w:hAnsi="Times New Roman"/>
      </w:rPr>
    </w:pPr>
    <w:r w:rsidRPr="00A67571">
      <w:rPr>
        <w:rFonts w:ascii="Times New Roman" w:hAnsi="Times New Roman"/>
        <w:b/>
        <w:color w:val="FF0000"/>
      </w:rPr>
      <w:t xml:space="preserve">TỔNG ĐÀI TƯ VẤN PHÁP LUẬT TRỰC TUYẾN </w:t>
    </w:r>
    <w:r>
      <w:rPr>
        <w:rFonts w:ascii="Times New Roman" w:hAnsi="Times New Roman"/>
        <w:b/>
        <w:color w:val="FF0000"/>
      </w:rPr>
      <w:t>24/7: 1900.6568</w:t>
    </w:r>
  </w:p>
  <w:p w:rsidR="00083B26" w:rsidRDefault="00083B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DE0" w:rsidRDefault="00437DE0" w:rsidP="00083B26">
      <w:pPr>
        <w:spacing w:after="0" w:line="240" w:lineRule="auto"/>
      </w:pPr>
      <w:r>
        <w:separator/>
      </w:r>
    </w:p>
  </w:footnote>
  <w:footnote w:type="continuationSeparator" w:id="0">
    <w:p w:rsidR="00437DE0" w:rsidRDefault="00437DE0" w:rsidP="00083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083B26" w:rsidRPr="00A67571" w:rsidTr="004B7F29">
      <w:trPr>
        <w:trHeight w:val="1208"/>
      </w:trPr>
      <w:tc>
        <w:tcPr>
          <w:tcW w:w="2411" w:type="dxa"/>
          <w:tcBorders>
            <w:top w:val="nil"/>
            <w:left w:val="nil"/>
            <w:bottom w:val="single" w:sz="4" w:space="0" w:color="auto"/>
            <w:right w:val="nil"/>
          </w:tcBorders>
          <w:vAlign w:val="center"/>
          <w:hideMark/>
        </w:tcPr>
        <w:p w:rsidR="00083B26" w:rsidRPr="00A67571" w:rsidRDefault="00083B26" w:rsidP="004B7F29">
          <w:pPr>
            <w:rPr>
              <w:rFonts w:ascii="Times New Roman" w:hAnsi="Times New Roman"/>
              <w:b/>
              <w:sz w:val="20"/>
            </w:rPr>
          </w:pPr>
          <w:r w:rsidRPr="00A67571">
            <w:rPr>
              <w:rFonts w:ascii="Times New Roman" w:hAnsi="Times New Roman"/>
              <w:b/>
              <w:sz w:val="20"/>
            </w:rPr>
            <w:t xml:space="preserve">        </w:t>
          </w:r>
          <w:r>
            <w:rPr>
              <w:rFonts w:ascii="Times New Roman" w:hAnsi="Times New Roman"/>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083B26" w:rsidRPr="00A67571" w:rsidRDefault="00083B26" w:rsidP="004B7F29">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083B26" w:rsidRPr="00A67571" w:rsidRDefault="00083B26" w:rsidP="004B7F29">
          <w:pPr>
            <w:rPr>
              <w:rFonts w:ascii="Times New Roman" w:hAnsi="Times New Roman"/>
              <w:sz w:val="20"/>
            </w:rPr>
          </w:pPr>
          <w:r w:rsidRPr="00A67571">
            <w:rPr>
              <w:rFonts w:ascii="Times New Roman" w:hAnsi="Times New Roman"/>
              <w:sz w:val="20"/>
            </w:rPr>
            <w:t xml:space="preserve">No 2305, VNT Tower, 19  Nguyen </w:t>
          </w:r>
          <w:proofErr w:type="spellStart"/>
          <w:r w:rsidRPr="00A67571">
            <w:rPr>
              <w:rFonts w:ascii="Times New Roman" w:hAnsi="Times New Roman"/>
              <w:sz w:val="20"/>
            </w:rPr>
            <w:t>Trai</w:t>
          </w:r>
          <w:proofErr w:type="spellEnd"/>
          <w:r w:rsidRPr="00A67571">
            <w:rPr>
              <w:rFonts w:ascii="Times New Roman" w:hAnsi="Times New Roman"/>
              <w:sz w:val="20"/>
            </w:rPr>
            <w:t xml:space="preserve"> Street, </w:t>
          </w:r>
          <w:proofErr w:type="spellStart"/>
          <w:r w:rsidRPr="00A67571">
            <w:rPr>
              <w:rFonts w:ascii="Times New Roman" w:hAnsi="Times New Roman"/>
              <w:sz w:val="20"/>
            </w:rPr>
            <w:t>Thanh</w:t>
          </w:r>
          <w:proofErr w:type="spellEnd"/>
          <w:r w:rsidRPr="00A67571">
            <w:rPr>
              <w:rFonts w:ascii="Times New Roman" w:hAnsi="Times New Roman"/>
              <w:sz w:val="20"/>
            </w:rPr>
            <w:t xml:space="preserve"> </w:t>
          </w:r>
          <w:proofErr w:type="spellStart"/>
          <w:r w:rsidRPr="00A67571">
            <w:rPr>
              <w:rFonts w:ascii="Times New Roman" w:hAnsi="Times New Roman"/>
              <w:sz w:val="20"/>
            </w:rPr>
            <w:t>Xuan</w:t>
          </w:r>
          <w:proofErr w:type="spellEnd"/>
          <w:r w:rsidRPr="00A67571">
            <w:rPr>
              <w:rFonts w:ascii="Times New Roman" w:hAnsi="Times New Roman"/>
              <w:sz w:val="20"/>
            </w:rPr>
            <w:t xml:space="preserve"> District, Hanoi City, Viet Nam</w:t>
          </w:r>
        </w:p>
        <w:p w:rsidR="00083B26" w:rsidRPr="00A67571" w:rsidRDefault="00083B26" w:rsidP="004B7F29">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1900.6568      </w:t>
          </w:r>
          <w:r w:rsidRPr="00A67571">
            <w:rPr>
              <w:rFonts w:ascii="Times New Roman" w:hAnsi="Times New Roman"/>
              <w:sz w:val="20"/>
            </w:rPr>
            <w:t xml:space="preserve">  Fax: 04.3562.7716</w:t>
          </w:r>
        </w:p>
        <w:p w:rsidR="00083B26" w:rsidRPr="00A67571" w:rsidRDefault="00083B26" w:rsidP="004B7F29">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083B26" w:rsidRDefault="00083B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B26"/>
    <w:rsid w:val="00083B26"/>
    <w:rsid w:val="00437DE0"/>
    <w:rsid w:val="00450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26"/>
    <w:rPr>
      <w:rFonts w:ascii="Calibri" w:eastAsia="Calibri" w:hAnsi="Calibri" w:cs="Times New Roman"/>
      <w:sz w:val="22"/>
    </w:rPr>
  </w:style>
  <w:style w:type="paragraph" w:styleId="Heading6">
    <w:name w:val="heading 6"/>
    <w:basedOn w:val="Normal"/>
    <w:next w:val="Normal"/>
    <w:link w:val="Heading6Char"/>
    <w:semiHidden/>
    <w:unhideWhenUsed/>
    <w:qFormat/>
    <w:rsid w:val="00083B26"/>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3B26"/>
    <w:rPr>
      <w:b/>
      <w:bCs/>
    </w:rPr>
  </w:style>
  <w:style w:type="paragraph" w:styleId="NormalWeb">
    <w:name w:val="Normal (Web)"/>
    <w:basedOn w:val="Normal"/>
    <w:uiPriority w:val="99"/>
    <w:unhideWhenUsed/>
    <w:rsid w:val="00083B26"/>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083B26"/>
    <w:rPr>
      <w:color w:val="0000FF"/>
      <w:u w:val="single"/>
    </w:rPr>
  </w:style>
  <w:style w:type="character" w:customStyle="1" w:styleId="apple-converted-space">
    <w:name w:val="apple-converted-space"/>
    <w:basedOn w:val="DefaultParagraphFont"/>
    <w:rsid w:val="00083B26"/>
  </w:style>
  <w:style w:type="paragraph" w:styleId="Header">
    <w:name w:val="header"/>
    <w:basedOn w:val="Normal"/>
    <w:link w:val="HeaderChar"/>
    <w:uiPriority w:val="99"/>
    <w:unhideWhenUsed/>
    <w:rsid w:val="00083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B26"/>
    <w:rPr>
      <w:rFonts w:ascii="Calibri" w:eastAsia="Calibri" w:hAnsi="Calibri" w:cs="Times New Roman"/>
      <w:sz w:val="22"/>
    </w:rPr>
  </w:style>
  <w:style w:type="paragraph" w:styleId="Footer">
    <w:name w:val="footer"/>
    <w:basedOn w:val="Normal"/>
    <w:link w:val="FooterChar"/>
    <w:uiPriority w:val="99"/>
    <w:unhideWhenUsed/>
    <w:rsid w:val="00083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B26"/>
    <w:rPr>
      <w:rFonts w:ascii="Calibri" w:eastAsia="Calibri" w:hAnsi="Calibri" w:cs="Times New Roman"/>
      <w:sz w:val="22"/>
    </w:rPr>
  </w:style>
  <w:style w:type="character" w:customStyle="1" w:styleId="Heading6Char">
    <w:name w:val="Heading 6 Char"/>
    <w:basedOn w:val="DefaultParagraphFont"/>
    <w:link w:val="Heading6"/>
    <w:semiHidden/>
    <w:rsid w:val="00083B26"/>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08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B26"/>
    <w:rPr>
      <w:rFonts w:ascii="Calibri" w:eastAsia="Calibri" w:hAnsi="Calibri" w:cs="Times New Roman"/>
      <w:sz w:val="22"/>
    </w:rPr>
  </w:style>
  <w:style w:type="paragraph" w:styleId="Heading6">
    <w:name w:val="heading 6"/>
    <w:basedOn w:val="Normal"/>
    <w:next w:val="Normal"/>
    <w:link w:val="Heading6Char"/>
    <w:semiHidden/>
    <w:unhideWhenUsed/>
    <w:qFormat/>
    <w:rsid w:val="00083B26"/>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3B26"/>
    <w:rPr>
      <w:b/>
      <w:bCs/>
    </w:rPr>
  </w:style>
  <w:style w:type="paragraph" w:styleId="NormalWeb">
    <w:name w:val="Normal (Web)"/>
    <w:basedOn w:val="Normal"/>
    <w:uiPriority w:val="99"/>
    <w:unhideWhenUsed/>
    <w:rsid w:val="00083B26"/>
    <w:pPr>
      <w:spacing w:before="100" w:beforeAutospacing="1" w:after="100" w:afterAutospacing="1" w:line="240" w:lineRule="auto"/>
    </w:pPr>
    <w:rPr>
      <w:rFonts w:ascii="Times New Roman" w:eastAsia="Times New Roman" w:hAnsi="Times New Roman"/>
      <w:sz w:val="24"/>
      <w:szCs w:val="24"/>
      <w:lang w:val="vi-VN" w:eastAsia="zh-TW"/>
    </w:rPr>
  </w:style>
  <w:style w:type="character" w:styleId="Hyperlink">
    <w:name w:val="Hyperlink"/>
    <w:uiPriority w:val="99"/>
    <w:unhideWhenUsed/>
    <w:rsid w:val="00083B26"/>
    <w:rPr>
      <w:color w:val="0000FF"/>
      <w:u w:val="single"/>
    </w:rPr>
  </w:style>
  <w:style w:type="character" w:customStyle="1" w:styleId="apple-converted-space">
    <w:name w:val="apple-converted-space"/>
    <w:basedOn w:val="DefaultParagraphFont"/>
    <w:rsid w:val="00083B26"/>
  </w:style>
  <w:style w:type="paragraph" w:styleId="Header">
    <w:name w:val="header"/>
    <w:basedOn w:val="Normal"/>
    <w:link w:val="HeaderChar"/>
    <w:uiPriority w:val="99"/>
    <w:unhideWhenUsed/>
    <w:rsid w:val="00083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B26"/>
    <w:rPr>
      <w:rFonts w:ascii="Calibri" w:eastAsia="Calibri" w:hAnsi="Calibri" w:cs="Times New Roman"/>
      <w:sz w:val="22"/>
    </w:rPr>
  </w:style>
  <w:style w:type="paragraph" w:styleId="Footer">
    <w:name w:val="footer"/>
    <w:basedOn w:val="Normal"/>
    <w:link w:val="FooterChar"/>
    <w:uiPriority w:val="99"/>
    <w:unhideWhenUsed/>
    <w:rsid w:val="00083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B26"/>
    <w:rPr>
      <w:rFonts w:ascii="Calibri" w:eastAsia="Calibri" w:hAnsi="Calibri" w:cs="Times New Roman"/>
      <w:sz w:val="22"/>
    </w:rPr>
  </w:style>
  <w:style w:type="character" w:customStyle="1" w:styleId="Heading6Char">
    <w:name w:val="Heading 6 Char"/>
    <w:basedOn w:val="DefaultParagraphFont"/>
    <w:link w:val="Heading6"/>
    <w:semiHidden/>
    <w:rsid w:val="00083B26"/>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083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2016-01-09T00:43:00Z</dcterms:created>
  <dcterms:modified xsi:type="dcterms:W3CDTF">2016-01-09T01:53:00Z</dcterms:modified>
</cp:coreProperties>
</file>