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383"/>
        <w:gridCol w:w="5617"/>
      </w:tblGrid>
      <w:tr w:rsidR="009310CF" w:rsidRPr="009310CF" w:rsidTr="009310CF">
        <w:trPr>
          <w:trHeight w:val="288"/>
        </w:trPr>
        <w:tc>
          <w:tcPr>
            <w:tcW w:w="3383" w:type="dxa"/>
            <w:tcBorders>
              <w:top w:val="nil"/>
              <w:left w:val="nil"/>
              <w:bottom w:val="nil"/>
              <w:right w:val="nil"/>
            </w:tcBorders>
            <w:shd w:val="clear" w:color="auto" w:fill="auto"/>
            <w:tcMar>
              <w:top w:w="0" w:type="dxa"/>
              <w:left w:w="108" w:type="dxa"/>
              <w:bottom w:w="0" w:type="dxa"/>
              <w:right w:w="108" w:type="dxa"/>
            </w:tcMar>
            <w:hideMark/>
          </w:tcPr>
          <w:p w:rsidR="009310CF" w:rsidRPr="009310CF" w:rsidRDefault="009310CF" w:rsidP="009310CF">
            <w:pPr>
              <w:spacing w:before="100" w:beforeAutospacing="1" w:after="100" w:afterAutospacing="1" w:line="240" w:lineRule="auto"/>
              <w:jc w:val="center"/>
              <w:rPr>
                <w:rFonts w:ascii="Verdana" w:eastAsia="Times New Roman" w:hAnsi="Verdana"/>
                <w:color w:val="000000"/>
                <w:sz w:val="20"/>
                <w:szCs w:val="20"/>
              </w:rPr>
            </w:pPr>
            <w:r w:rsidRPr="009310CF">
              <w:rPr>
                <w:rFonts w:ascii="Arial" w:eastAsia="Times New Roman" w:hAnsi="Arial" w:cs="Arial"/>
                <w:b/>
                <w:bCs/>
                <w:color w:val="000000"/>
                <w:sz w:val="20"/>
                <w:szCs w:val="20"/>
              </w:rPr>
              <w:t>BỘ TÀI CHÍNH</w:t>
            </w:r>
            <w:r w:rsidRPr="009310CF">
              <w:rPr>
                <w:rFonts w:ascii="Arial" w:eastAsia="Times New Roman" w:hAnsi="Arial" w:cs="Arial"/>
                <w:color w:val="000000"/>
                <w:sz w:val="20"/>
                <w:szCs w:val="20"/>
              </w:rPr>
              <w:br/>
            </w:r>
            <w:r w:rsidRPr="009310CF">
              <w:rPr>
                <w:rFonts w:ascii="Arial" w:eastAsia="Times New Roman" w:hAnsi="Arial" w:cs="Arial"/>
                <w:b/>
                <w:bCs/>
                <w:color w:val="000000"/>
                <w:sz w:val="20"/>
                <w:szCs w:val="20"/>
              </w:rPr>
              <w:t>------------</w:t>
            </w:r>
          </w:p>
          <w:p w:rsidR="009310CF" w:rsidRPr="009310CF" w:rsidRDefault="009310CF" w:rsidP="009310CF">
            <w:pPr>
              <w:spacing w:before="100" w:beforeAutospacing="1" w:after="100" w:afterAutospacing="1" w:line="240" w:lineRule="auto"/>
              <w:jc w:val="center"/>
              <w:rPr>
                <w:rFonts w:ascii="Verdana" w:eastAsia="Times New Roman" w:hAnsi="Verdana"/>
                <w:color w:val="000000"/>
                <w:sz w:val="20"/>
                <w:szCs w:val="20"/>
              </w:rPr>
            </w:pPr>
            <w:r w:rsidRPr="009310CF">
              <w:rPr>
                <w:rFonts w:ascii="Arial" w:eastAsia="Times New Roman" w:hAnsi="Arial" w:cs="Arial"/>
                <w:color w:val="000000"/>
                <w:sz w:val="20"/>
                <w:szCs w:val="20"/>
              </w:rPr>
              <w:t>Số: 132/2011/TT-BTC</w:t>
            </w:r>
          </w:p>
        </w:tc>
        <w:tc>
          <w:tcPr>
            <w:tcW w:w="5617" w:type="dxa"/>
            <w:tcBorders>
              <w:top w:val="nil"/>
              <w:left w:val="nil"/>
              <w:bottom w:val="nil"/>
              <w:right w:val="nil"/>
            </w:tcBorders>
            <w:shd w:val="clear" w:color="auto" w:fill="auto"/>
            <w:tcMar>
              <w:top w:w="0" w:type="dxa"/>
              <w:left w:w="108" w:type="dxa"/>
              <w:bottom w:w="0" w:type="dxa"/>
              <w:right w:w="108" w:type="dxa"/>
            </w:tcMar>
            <w:hideMark/>
          </w:tcPr>
          <w:p w:rsidR="009310CF" w:rsidRPr="009310CF" w:rsidRDefault="009310CF" w:rsidP="009310CF">
            <w:pPr>
              <w:spacing w:before="100" w:beforeAutospacing="1" w:after="100" w:afterAutospacing="1" w:line="240" w:lineRule="auto"/>
              <w:jc w:val="center"/>
              <w:rPr>
                <w:rFonts w:ascii="Verdana" w:eastAsia="Times New Roman" w:hAnsi="Verdana"/>
                <w:color w:val="000000"/>
                <w:sz w:val="20"/>
                <w:szCs w:val="20"/>
              </w:rPr>
            </w:pPr>
            <w:r w:rsidRPr="009310CF">
              <w:rPr>
                <w:rFonts w:ascii="Arial" w:eastAsia="Times New Roman" w:hAnsi="Arial" w:cs="Arial"/>
                <w:b/>
                <w:bCs/>
                <w:color w:val="000000"/>
                <w:sz w:val="20"/>
                <w:szCs w:val="20"/>
              </w:rPr>
              <w:t>CỘNG HÒA XÃ HỘI CHỦ NGHĨA VIỆT NAM</w:t>
            </w:r>
            <w:r w:rsidRPr="009310CF">
              <w:rPr>
                <w:rFonts w:ascii="Arial" w:eastAsia="Times New Roman" w:hAnsi="Arial" w:cs="Arial"/>
                <w:b/>
                <w:bCs/>
                <w:color w:val="000000"/>
                <w:sz w:val="20"/>
                <w:szCs w:val="20"/>
              </w:rPr>
              <w:br/>
              <w:t>Độc lập - Tự do - Hạnh phúc</w:t>
            </w:r>
            <w:r w:rsidRPr="009310CF">
              <w:rPr>
                <w:rFonts w:ascii="Arial" w:eastAsia="Times New Roman" w:hAnsi="Arial" w:cs="Arial"/>
                <w:b/>
                <w:bCs/>
                <w:color w:val="000000"/>
                <w:sz w:val="20"/>
                <w:szCs w:val="20"/>
              </w:rPr>
              <w:br/>
              <w:t>------------------</w:t>
            </w:r>
          </w:p>
          <w:p w:rsidR="009310CF" w:rsidRPr="009310CF" w:rsidRDefault="009310CF" w:rsidP="009310CF">
            <w:pPr>
              <w:spacing w:before="100" w:beforeAutospacing="1" w:after="100" w:afterAutospacing="1" w:line="240" w:lineRule="auto"/>
              <w:jc w:val="right"/>
              <w:rPr>
                <w:rFonts w:ascii="Verdana" w:eastAsia="Times New Roman" w:hAnsi="Verdana"/>
                <w:color w:val="000000"/>
                <w:sz w:val="20"/>
                <w:szCs w:val="20"/>
              </w:rPr>
            </w:pPr>
            <w:r w:rsidRPr="009310CF">
              <w:rPr>
                <w:rFonts w:ascii="Arial" w:eastAsia="Times New Roman" w:hAnsi="Arial" w:cs="Arial"/>
                <w:i/>
                <w:iCs/>
                <w:color w:val="000000"/>
                <w:sz w:val="20"/>
                <w:szCs w:val="20"/>
              </w:rPr>
              <w:t>Hà Nội, ngày 28 tháng 09 năm 2011</w:t>
            </w:r>
          </w:p>
        </w:tc>
      </w:tr>
    </w:tbl>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color w:val="000000"/>
          <w:sz w:val="20"/>
          <w:szCs w:val="20"/>
        </w:rPr>
        <w:t> </w:t>
      </w:r>
    </w:p>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color w:val="000000"/>
          <w:sz w:val="20"/>
          <w:szCs w:val="20"/>
        </w:rPr>
        <w:t> </w:t>
      </w:r>
    </w:p>
    <w:p w:rsidR="009310CF" w:rsidRPr="009310CF" w:rsidRDefault="009310CF" w:rsidP="009310CF">
      <w:pPr>
        <w:spacing w:after="0" w:line="240" w:lineRule="auto"/>
        <w:jc w:val="center"/>
        <w:rPr>
          <w:rFonts w:ascii="Verdana" w:eastAsia="Times New Roman" w:hAnsi="Verdana"/>
          <w:color w:val="000000"/>
          <w:sz w:val="20"/>
          <w:szCs w:val="20"/>
        </w:rPr>
      </w:pPr>
      <w:r w:rsidRPr="009310CF">
        <w:rPr>
          <w:rFonts w:ascii="Arial" w:eastAsia="Times New Roman" w:hAnsi="Arial" w:cs="Arial"/>
          <w:b/>
          <w:bCs/>
          <w:color w:val="000000"/>
          <w:sz w:val="20"/>
          <w:szCs w:val="20"/>
        </w:rPr>
        <w:t>THÔNG TƯ</w:t>
      </w:r>
    </w:p>
    <w:p w:rsidR="009310CF" w:rsidRPr="009310CF" w:rsidRDefault="009310CF" w:rsidP="009310CF">
      <w:pPr>
        <w:spacing w:after="0" w:line="240" w:lineRule="auto"/>
        <w:jc w:val="center"/>
        <w:rPr>
          <w:rFonts w:ascii="Verdana" w:eastAsia="Times New Roman" w:hAnsi="Verdana"/>
          <w:color w:val="000000"/>
          <w:sz w:val="20"/>
          <w:szCs w:val="20"/>
        </w:rPr>
      </w:pPr>
      <w:r w:rsidRPr="009310CF">
        <w:rPr>
          <w:rFonts w:ascii="Arial" w:eastAsia="Times New Roman" w:hAnsi="Arial" w:cs="Arial"/>
          <w:b/>
          <w:bCs/>
          <w:color w:val="000000"/>
          <w:sz w:val="20"/>
          <w:szCs w:val="20"/>
        </w:rPr>
        <w:t>HƯỚNG DẪN PHƯƠNG PHÁP XÁC ĐỊNH GIÁ TRỊ VƯỜN CÂY CAO SU KHI CỔ PHẦN HÓA</w:t>
      </w:r>
    </w:p>
    <w:p w:rsidR="009310CF" w:rsidRPr="009310CF" w:rsidRDefault="009310CF" w:rsidP="009310CF">
      <w:pPr>
        <w:spacing w:after="0" w:line="240" w:lineRule="auto"/>
        <w:jc w:val="center"/>
        <w:rPr>
          <w:rFonts w:ascii="Verdana" w:eastAsia="Times New Roman" w:hAnsi="Verdana"/>
          <w:color w:val="000000"/>
          <w:sz w:val="20"/>
          <w:szCs w:val="20"/>
        </w:rPr>
      </w:pPr>
      <w:r w:rsidRPr="009310CF">
        <w:rPr>
          <w:rFonts w:ascii="Verdana" w:eastAsia="Times New Roman" w:hAnsi="Verdana"/>
          <w:color w:val="000000"/>
          <w:sz w:val="20"/>
          <w:szCs w:val="20"/>
        </w:rPr>
        <w:t> </w:t>
      </w:r>
    </w:p>
    <w:p w:rsidR="009310CF" w:rsidRPr="009310CF" w:rsidRDefault="009310CF" w:rsidP="009310CF">
      <w:pPr>
        <w:spacing w:after="0" w:line="240" w:lineRule="auto"/>
        <w:jc w:val="center"/>
        <w:rPr>
          <w:rFonts w:ascii="Verdana" w:eastAsia="Times New Roman" w:hAnsi="Verdana"/>
          <w:color w:val="000000"/>
          <w:sz w:val="20"/>
          <w:szCs w:val="20"/>
        </w:rPr>
      </w:pPr>
      <w:r w:rsidRPr="009310CF">
        <w:rPr>
          <w:rFonts w:ascii="Verdana" w:eastAsia="Times New Roman" w:hAnsi="Verdana"/>
          <w:color w:val="000000"/>
          <w:sz w:val="20"/>
          <w:szCs w:val="20"/>
        </w:rPr>
        <w:t> </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i/>
          <w:iCs/>
          <w:color w:val="000000"/>
          <w:sz w:val="20"/>
          <w:szCs w:val="20"/>
        </w:rPr>
        <w:t>Căn cứ Nghị định số 118/2008/NĐ-CP ngày 27 tháng 11 năm 2008 của Chính phủ quy định chức năng, nhiệm vụ, quyền hạn và cơ cấu tổ chức bộ máy Bộ Tài chính;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i/>
          <w:iCs/>
          <w:color w:val="000000"/>
          <w:sz w:val="20"/>
          <w:szCs w:val="20"/>
        </w:rPr>
        <w:t>Căn cứ Nghị định số 59/2011/NĐ-CP ngày 19 tháng 07 năm 2011 của Chính phủ về chuyển doanh nghiệp 100% vốn nhà nước thành công ty cổ phần;</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i/>
          <w:iCs/>
          <w:color w:val="000000"/>
          <w:sz w:val="20"/>
          <w:szCs w:val="20"/>
        </w:rPr>
        <w:t>Thực hiện công văn số 442/TTg-ĐMDN ngày 15 tháng 3 năm 2010 của Thủ tướng Chính phủ về việc cổ phần hóa vườn cây, rừng trồng gắn với cơ sở chế biến;</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i/>
          <w:iCs/>
          <w:color w:val="000000"/>
          <w:spacing w:val="-6"/>
          <w:sz w:val="20"/>
          <w:szCs w:val="20"/>
        </w:rPr>
        <w:t>Bộ Tài chính hướng dẫn phương pháp xác định giá trị vườn cây cao su khi cổ phần hóa, như sau:</w:t>
      </w:r>
    </w:p>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b/>
          <w:bCs/>
          <w:color w:val="000000"/>
          <w:sz w:val="20"/>
          <w:szCs w:val="20"/>
        </w:rPr>
        <w:t> </w:t>
      </w:r>
    </w:p>
    <w:p w:rsidR="009310CF" w:rsidRPr="009310CF" w:rsidRDefault="009310CF" w:rsidP="009310CF">
      <w:pPr>
        <w:spacing w:after="0" w:line="240" w:lineRule="auto"/>
        <w:jc w:val="center"/>
        <w:rPr>
          <w:rFonts w:ascii="Verdana" w:eastAsia="Times New Roman" w:hAnsi="Verdana"/>
          <w:color w:val="000000"/>
          <w:sz w:val="20"/>
          <w:szCs w:val="20"/>
        </w:rPr>
      </w:pPr>
      <w:proofErr w:type="gramStart"/>
      <w:r w:rsidRPr="009310CF">
        <w:rPr>
          <w:rFonts w:ascii="Arial" w:eastAsia="Times New Roman" w:hAnsi="Arial" w:cs="Arial"/>
          <w:b/>
          <w:bCs/>
          <w:color w:val="000000"/>
          <w:sz w:val="20"/>
          <w:szCs w:val="20"/>
        </w:rPr>
        <w:t>Chương 1.</w:t>
      </w:r>
      <w:proofErr w:type="gramEnd"/>
    </w:p>
    <w:p w:rsidR="009310CF" w:rsidRPr="009310CF" w:rsidRDefault="009310CF" w:rsidP="009310CF">
      <w:pPr>
        <w:spacing w:after="0" w:line="240" w:lineRule="auto"/>
        <w:jc w:val="center"/>
        <w:rPr>
          <w:rFonts w:ascii="Verdana" w:eastAsia="Times New Roman" w:hAnsi="Verdana"/>
          <w:color w:val="000000"/>
          <w:sz w:val="20"/>
          <w:szCs w:val="20"/>
        </w:rPr>
      </w:pPr>
      <w:r w:rsidRPr="009310CF">
        <w:rPr>
          <w:rFonts w:ascii="Arial" w:eastAsia="Times New Roman" w:hAnsi="Arial" w:cs="Arial"/>
          <w:b/>
          <w:bCs/>
          <w:color w:val="000000"/>
          <w:sz w:val="20"/>
          <w:szCs w:val="20"/>
        </w:rPr>
        <w:t>QUY ĐỊNH CHUNG</w:t>
      </w:r>
    </w:p>
    <w:p w:rsidR="009310CF" w:rsidRPr="009310CF" w:rsidRDefault="009310CF" w:rsidP="009310CF">
      <w:pPr>
        <w:spacing w:after="0" w:line="240" w:lineRule="auto"/>
        <w:jc w:val="center"/>
        <w:rPr>
          <w:rFonts w:ascii="Verdana" w:eastAsia="Times New Roman" w:hAnsi="Verdana"/>
          <w:color w:val="000000"/>
          <w:sz w:val="20"/>
          <w:szCs w:val="20"/>
        </w:rPr>
      </w:pPr>
      <w:r w:rsidRPr="009310CF">
        <w:rPr>
          <w:rFonts w:ascii="Verdana" w:eastAsia="Times New Roman" w:hAnsi="Verdana"/>
          <w:color w:val="000000"/>
          <w:sz w:val="20"/>
          <w:szCs w:val="20"/>
        </w:rPr>
        <w:t> </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b/>
          <w:bCs/>
          <w:color w:val="000000"/>
          <w:sz w:val="20"/>
          <w:szCs w:val="20"/>
        </w:rPr>
        <w:t>Điều 1.</w:t>
      </w:r>
      <w:proofErr w:type="gramEnd"/>
      <w:r w:rsidRPr="009310CF">
        <w:rPr>
          <w:rFonts w:ascii="Arial" w:eastAsia="Times New Roman" w:hAnsi="Arial" w:cs="Arial"/>
          <w:b/>
          <w:bCs/>
          <w:color w:val="000000"/>
          <w:sz w:val="20"/>
          <w:szCs w:val="20"/>
        </w:rPr>
        <w:t xml:space="preserve"> Mục đích, yêu cầu của việc xác định giá trị vườn cây cao su khi cổ phần hóa:</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Bảo đảm tính đúng, tính đủ chi phí đầu tư vườn cây, giá trị </w:t>
      </w:r>
      <w:proofErr w:type="gramStart"/>
      <w:r w:rsidRPr="009310CF">
        <w:rPr>
          <w:rFonts w:ascii="Arial" w:eastAsia="Times New Roman" w:hAnsi="Arial" w:cs="Arial"/>
          <w:color w:val="000000"/>
          <w:sz w:val="20"/>
          <w:szCs w:val="20"/>
        </w:rPr>
        <w:t>thu</w:t>
      </w:r>
      <w:proofErr w:type="gramEnd"/>
      <w:r w:rsidRPr="009310CF">
        <w:rPr>
          <w:rFonts w:ascii="Arial" w:eastAsia="Times New Roman" w:hAnsi="Arial" w:cs="Arial"/>
          <w:color w:val="000000"/>
          <w:sz w:val="20"/>
          <w:szCs w:val="20"/>
        </w:rPr>
        <w:t xml:space="preserve"> hồi củi, gỗ ước tính trong tương lai trên cơ sở giá thị trường và các yếu tố ảnh hưởng bởi thời tiết, khí hậu.</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Bảo đảm hài hòa lợi ích của nhà nước, đơn vị cổ phần hóa có tài sản là vườn cây cao su, nhà đầu tư và người </w:t>
      </w:r>
      <w:proofErr w:type="gramStart"/>
      <w:r w:rsidRPr="009310CF">
        <w:rPr>
          <w:rFonts w:ascii="Arial" w:eastAsia="Times New Roman" w:hAnsi="Arial" w:cs="Arial"/>
          <w:color w:val="000000"/>
          <w:sz w:val="20"/>
          <w:szCs w:val="20"/>
        </w:rPr>
        <w:t>lao</w:t>
      </w:r>
      <w:proofErr w:type="gramEnd"/>
      <w:r w:rsidRPr="009310CF">
        <w:rPr>
          <w:rFonts w:ascii="Arial" w:eastAsia="Times New Roman" w:hAnsi="Arial" w:cs="Arial"/>
          <w:color w:val="000000"/>
          <w:sz w:val="20"/>
          <w:szCs w:val="20"/>
        </w:rPr>
        <w:t xml:space="preserve"> động trong doanh nghiệp.</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Đối với những tài sản khác ngoài vườn cây cao su, khi cổ phần hóa công ty được thực hiện theo quy định tại Nghị định số 59/2011/NĐ-CP ngày 18/7/2011 của Chính phủ về chuyển doanh nghiệp 100% vốn nhà nước thành công ty cổ phần và Thông tư hướng dẫn thực hiện Nghị định số 59/2011/NĐ-CP ngày 18/7/2011 của Chính phủ.</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b/>
          <w:bCs/>
          <w:color w:val="000000"/>
          <w:sz w:val="20"/>
          <w:szCs w:val="20"/>
        </w:rPr>
        <w:t>Điều 2.</w:t>
      </w:r>
      <w:proofErr w:type="gramEnd"/>
      <w:r w:rsidRPr="009310CF">
        <w:rPr>
          <w:rFonts w:ascii="Arial" w:eastAsia="Times New Roman" w:hAnsi="Arial" w:cs="Arial"/>
          <w:b/>
          <w:bCs/>
          <w:color w:val="000000"/>
          <w:sz w:val="20"/>
          <w:szCs w:val="20"/>
        </w:rPr>
        <w:t xml:space="preserve"> Đối tượng áp dụng:</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Công ty trách nhiệm hữu hạn một thành viên do nhà nước làm chủ sở hữu (bao gồm cả các đơn vị hạch toán phụ thuộc) có vườn cây cao su, có quyết định cổ phần hóa công ty của cơ quan có thẩm quyền bao gồm: Công ty trách nhiệm hữu hạn một thành viên do các Bộ trưởng, Chủ tịch Ủy ban nhân dân tỉnh quyết định thành lập; Công ty mẹ, công ty con trong tổ hợp công ty mẹ - công ty con thuộc các tập đoàn kinh tế, tổng công ty nhà nước do Thủ tướng Chính phủ, Bộ trưởng các Bộ, Chủ tịch Ủy ban nhân dân các tỉnh, thành phố quyết định thành lập (sau đây gọi tắt là công ty).</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b/>
          <w:bCs/>
          <w:color w:val="000000"/>
          <w:sz w:val="20"/>
          <w:szCs w:val="20"/>
        </w:rPr>
        <w:t>Điều 3.</w:t>
      </w:r>
      <w:proofErr w:type="gramEnd"/>
      <w:r w:rsidRPr="009310CF">
        <w:rPr>
          <w:rFonts w:ascii="Arial" w:eastAsia="Times New Roman" w:hAnsi="Arial" w:cs="Arial"/>
          <w:b/>
          <w:bCs/>
          <w:color w:val="000000"/>
          <w:sz w:val="20"/>
          <w:szCs w:val="20"/>
        </w:rPr>
        <w:t xml:space="preserve"> Phạm </w:t>
      </w:r>
      <w:proofErr w:type="gramStart"/>
      <w:r w:rsidRPr="009310CF">
        <w:rPr>
          <w:rFonts w:ascii="Arial" w:eastAsia="Times New Roman" w:hAnsi="Arial" w:cs="Arial"/>
          <w:b/>
          <w:bCs/>
          <w:color w:val="000000"/>
          <w:sz w:val="20"/>
          <w:szCs w:val="20"/>
        </w:rPr>
        <w:t>vi</w:t>
      </w:r>
      <w:proofErr w:type="gramEnd"/>
      <w:r w:rsidRPr="009310CF">
        <w:rPr>
          <w:rFonts w:ascii="Arial" w:eastAsia="Times New Roman" w:hAnsi="Arial" w:cs="Arial"/>
          <w:b/>
          <w:bCs/>
          <w:color w:val="000000"/>
          <w:sz w:val="20"/>
          <w:szCs w:val="20"/>
        </w:rPr>
        <w:t xml:space="preserve"> điều chỉnh: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lastRenderedPageBreak/>
        <w:t>Vườn cây cao su được xác định giá trị khi cổ phần hóa công ty, bao gồm: Vườn cây cao su xây dựng cơ bản và vườn cây cao su kinh doanh.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Việc xác định giá trị vườn cây cao su để thí điểm cổ phần hóa gắn với cơ sở chế biến được thực hiện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phương án đã được Thủ tướng Chính phủ phê duyệt.</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color w:val="000000"/>
          <w:sz w:val="20"/>
          <w:szCs w:val="20"/>
        </w:rPr>
        <w:t>Vườn cây cao su đã có quyết định thanh lý của cơ quan có thẩm quyền nhưng tại thời điểm xác định giá trị doanh nghiệp chưa tổ chức thanh lý thì không thực hiện đánh giá lại giá trị vườn cây để tính vào giá trị doanh nghiệp.</w:t>
      </w:r>
      <w:proofErr w:type="gramEnd"/>
      <w:r w:rsidRPr="009310CF">
        <w:rPr>
          <w:rFonts w:ascii="Arial" w:eastAsia="Times New Roman" w:hAnsi="Arial" w:cs="Arial"/>
          <w:color w:val="000000"/>
          <w:sz w:val="20"/>
          <w:szCs w:val="20"/>
        </w:rPr>
        <w:t xml:space="preserve"> Sau khi công bố giá trị doanh nghiệp, công ty có trách nhiệm quản lý và tổ chức thanh lý, nhượng bán vườn cây chưa tổ chức thanh lý nêu trên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quy định hiện hành. Đến thời điểm bàn giao vốn, tài sản từ Công ty trách nhiệm hữu hạn một thành viên do nhà nước làm chủ sở hữu sang công ty cổ phần mà chưa tổ chức thanh lý thì công ty có trách nhiệm bàn giao vườn cây cao su chờ thanh lý cho Công ty mẹ hoặc chủ sở hữu về vốn của doanh nghiệp theo quy định.</w:t>
      </w:r>
    </w:p>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b/>
          <w:bCs/>
          <w:color w:val="000000"/>
          <w:sz w:val="20"/>
          <w:szCs w:val="20"/>
        </w:rPr>
        <w:t> </w:t>
      </w:r>
    </w:p>
    <w:p w:rsidR="009310CF" w:rsidRPr="009310CF" w:rsidRDefault="009310CF" w:rsidP="009310CF">
      <w:pPr>
        <w:spacing w:after="0" w:line="240" w:lineRule="auto"/>
        <w:jc w:val="center"/>
        <w:rPr>
          <w:rFonts w:ascii="Verdana" w:eastAsia="Times New Roman" w:hAnsi="Verdana"/>
          <w:color w:val="000000"/>
          <w:sz w:val="20"/>
          <w:szCs w:val="20"/>
        </w:rPr>
      </w:pPr>
      <w:proofErr w:type="gramStart"/>
      <w:r w:rsidRPr="009310CF">
        <w:rPr>
          <w:rFonts w:ascii="Arial" w:eastAsia="Times New Roman" w:hAnsi="Arial" w:cs="Arial"/>
          <w:b/>
          <w:bCs/>
          <w:color w:val="000000"/>
          <w:sz w:val="20"/>
          <w:szCs w:val="20"/>
        </w:rPr>
        <w:t>Chương 2.</w:t>
      </w:r>
      <w:proofErr w:type="gramEnd"/>
    </w:p>
    <w:p w:rsidR="009310CF" w:rsidRPr="009310CF" w:rsidRDefault="009310CF" w:rsidP="009310CF">
      <w:pPr>
        <w:spacing w:after="0" w:line="240" w:lineRule="auto"/>
        <w:jc w:val="center"/>
        <w:rPr>
          <w:rFonts w:ascii="Verdana" w:eastAsia="Times New Roman" w:hAnsi="Verdana"/>
          <w:color w:val="000000"/>
          <w:sz w:val="20"/>
          <w:szCs w:val="20"/>
        </w:rPr>
      </w:pPr>
      <w:r w:rsidRPr="009310CF">
        <w:rPr>
          <w:rFonts w:ascii="Arial" w:eastAsia="Times New Roman" w:hAnsi="Arial" w:cs="Arial"/>
          <w:b/>
          <w:bCs/>
          <w:color w:val="000000"/>
          <w:sz w:val="20"/>
          <w:szCs w:val="20"/>
        </w:rPr>
        <w:t>QUY ĐỊNH CỤ THỂ</w:t>
      </w:r>
    </w:p>
    <w:p w:rsidR="009310CF" w:rsidRPr="009310CF" w:rsidRDefault="009310CF" w:rsidP="009310CF">
      <w:pPr>
        <w:spacing w:after="0" w:line="240" w:lineRule="auto"/>
        <w:jc w:val="center"/>
        <w:rPr>
          <w:rFonts w:ascii="Verdana" w:eastAsia="Times New Roman" w:hAnsi="Verdana"/>
          <w:color w:val="000000"/>
          <w:sz w:val="20"/>
          <w:szCs w:val="20"/>
        </w:rPr>
      </w:pPr>
      <w:r w:rsidRPr="009310CF">
        <w:rPr>
          <w:rFonts w:ascii="Verdana" w:eastAsia="Times New Roman" w:hAnsi="Verdana"/>
          <w:color w:val="000000"/>
          <w:sz w:val="20"/>
          <w:szCs w:val="20"/>
        </w:rPr>
        <w:t> </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b/>
          <w:bCs/>
          <w:color w:val="000000"/>
          <w:sz w:val="20"/>
          <w:szCs w:val="20"/>
        </w:rPr>
        <w:t>Điều 4.</w:t>
      </w:r>
      <w:proofErr w:type="gramEnd"/>
      <w:r w:rsidRPr="009310CF">
        <w:rPr>
          <w:rFonts w:ascii="Arial" w:eastAsia="Times New Roman" w:hAnsi="Arial" w:cs="Arial"/>
          <w:b/>
          <w:bCs/>
          <w:color w:val="000000"/>
          <w:sz w:val="20"/>
          <w:szCs w:val="20"/>
        </w:rPr>
        <w:t xml:space="preserve"> Yêu cầu kiểm kê phân loại vườn cây:</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Phân loại diện tích vườn cây xây dựng cơ bản và vườn cây kinh doanh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diện tích hecta (ha) và độ tuổi vườn cây.</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Phân loại diện tích vườn cây xây dựng cơ bản và vườn cây kinh doanh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hình thức đầu tư: Đầu tư trồng mới, đầu tư tái canh (vườn cây cao su trồng mới lại trên đất cao su đã thanh lý).</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Phân loại vườn cây cao su xây dựng cơ bản, vườn cây kinh doanh theo loại A, B, C, D tương ứng lần lượt với hệ số A = 1; B = 0</w:t>
      </w:r>
      <w:proofErr w:type="gramStart"/>
      <w:r w:rsidRPr="009310CF">
        <w:rPr>
          <w:rFonts w:ascii="Arial" w:eastAsia="Times New Roman" w:hAnsi="Arial" w:cs="Arial"/>
          <w:color w:val="000000"/>
          <w:sz w:val="20"/>
          <w:szCs w:val="20"/>
        </w:rPr>
        <w:t>,95</w:t>
      </w:r>
      <w:proofErr w:type="gramEnd"/>
      <w:r w:rsidRPr="009310CF">
        <w:rPr>
          <w:rFonts w:ascii="Arial" w:eastAsia="Times New Roman" w:hAnsi="Arial" w:cs="Arial"/>
          <w:color w:val="000000"/>
          <w:sz w:val="20"/>
          <w:szCs w:val="20"/>
        </w:rPr>
        <w:t>; C = 0,9; D = 0,8. Tiêu chí làm căn cứ phân loại vườn cây do cơ quan có thẩm quyền ban hành, cụ thể:</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Đối với công ty nhà nước sở hữu 100% vốn điều lệ thuộc Tập đoàn kinh tế, Tổng công ty nhà nước được Thủ tướng Chính phủ quyết định thành lập do Hội đồng thành viên các tập đoàn kinh tế, tổng công ty nhà nước ban hành.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Đối với công ty nhà nước sở hữu 100% vốn điều lệ do các Bộ quyết định thành lập do Bộ trưởng các Bộ ban hành.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Đối với công ty nhà nước sở hữu 100% vốn điều lệ do Ủy ban nhân dân các tỉnh, thành phố trực thuộc trung ương quyết định thành lập do Chủ tịch Ủy ban nhân dân các tỉnh, thành phố trực thuộc trung ương ban hành.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b/>
          <w:bCs/>
          <w:color w:val="000000"/>
          <w:sz w:val="20"/>
          <w:szCs w:val="20"/>
        </w:rPr>
        <w:t>Điều 5.</w:t>
      </w:r>
      <w:proofErr w:type="gramEnd"/>
      <w:r w:rsidRPr="009310CF">
        <w:rPr>
          <w:rFonts w:ascii="Arial" w:eastAsia="Times New Roman" w:hAnsi="Arial" w:cs="Arial"/>
          <w:b/>
          <w:bCs/>
          <w:color w:val="000000"/>
          <w:sz w:val="20"/>
          <w:szCs w:val="20"/>
        </w:rPr>
        <w:t xml:space="preserve"> Xác định giá trị vườn cây:</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b/>
          <w:bCs/>
          <w:color w:val="000000"/>
          <w:sz w:val="20"/>
          <w:szCs w:val="20"/>
        </w:rPr>
        <w:t xml:space="preserve">1. Xác định giá trị vườn cây cao su xây dựng cơ bản </w:t>
      </w:r>
      <w:proofErr w:type="gramStart"/>
      <w:r w:rsidRPr="009310CF">
        <w:rPr>
          <w:rFonts w:ascii="Arial" w:eastAsia="Times New Roman" w:hAnsi="Arial" w:cs="Arial"/>
          <w:b/>
          <w:bCs/>
          <w:color w:val="000000"/>
          <w:sz w:val="20"/>
          <w:szCs w:val="20"/>
        </w:rPr>
        <w:t>G(</w:t>
      </w:r>
      <w:proofErr w:type="gramEnd"/>
      <w:r w:rsidRPr="009310CF">
        <w:rPr>
          <w:rFonts w:ascii="Arial" w:eastAsia="Times New Roman" w:hAnsi="Arial" w:cs="Arial"/>
          <w:b/>
          <w:bCs/>
          <w:color w:val="000000"/>
          <w:sz w:val="20"/>
          <w:szCs w:val="20"/>
        </w:rPr>
        <w:t>xdcb):</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Giá trị vườn cây xây dựng cơ bản dựa trên suất đầu tư nông nghiệp bao gồm: Chi phí khai hoang hoặc phục hóa; Chi phí xây dựng vườn cây; Chi phí trồng mới; Chi phí chăm sóc vườn cây trong thời kỳ xây dựng cơ bản và chi phí xây dựng cơ bản khác do cơ quan có thẩm quyền (quy định tại Điều 4 của Thông tư này) ban hành cho mỗi công ty tại thời điểm xác định giá trị doanh nghiệp để cổ phần hóa.</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Giá trị thực tế vườn cây cao su xây dựng cơ bản, được xác định cho từng diện tích (ha) của vườn cây và theo tuổi (i) với suất đầu tư nông nghiệp của vườn cây theo tuổi (i) nhân (x) với hệ số phân loại vườn cây xây dựng cơ bản tuổi (i) tại thời điểm xác định giá trị doanh nghiệp để cổ phần hóa doanh nghiệp, trong đó hệ số phân loại vườn cây xây dựng cơ bản căn cứ vào các tiêu chí quy định về mật độ cây ghép/ha, về bề vòng bình quân thân cây để đánh giá, phân loại. Hệ số phân loại thực tế vườn cây được xác định trên cơ sở kiểm kê, đánh giá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các tiêu chí phân loại vườn cây do cơ quan có thẩm quyền quyết định tại thời điểm xác định giá trị doanh nghiệp để cổ phần hóa công ty, cụ thể:</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color w:val="000000"/>
          <w:sz w:val="20"/>
          <w:szCs w:val="20"/>
        </w:rPr>
        <w:t>Gi(</w:t>
      </w:r>
      <w:proofErr w:type="gramEnd"/>
      <w:r w:rsidRPr="009310CF">
        <w:rPr>
          <w:rFonts w:ascii="Arial" w:eastAsia="Times New Roman" w:hAnsi="Arial" w:cs="Arial"/>
          <w:color w:val="000000"/>
          <w:sz w:val="20"/>
          <w:szCs w:val="20"/>
        </w:rPr>
        <w:t>xdcb) = Dt(xdcb) x Siđt x HSi(xdcb)</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Trong đó:</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w:t>
      </w:r>
      <w:proofErr w:type="gramStart"/>
      <w:r w:rsidRPr="009310CF">
        <w:rPr>
          <w:rFonts w:ascii="Arial" w:eastAsia="Times New Roman" w:hAnsi="Arial" w:cs="Arial"/>
          <w:color w:val="000000"/>
          <w:sz w:val="20"/>
          <w:szCs w:val="20"/>
        </w:rPr>
        <w:t>Gi(</w:t>
      </w:r>
      <w:proofErr w:type="gramEnd"/>
      <w:r w:rsidRPr="009310CF">
        <w:rPr>
          <w:rFonts w:ascii="Arial" w:eastAsia="Times New Roman" w:hAnsi="Arial" w:cs="Arial"/>
          <w:color w:val="000000"/>
          <w:sz w:val="20"/>
          <w:szCs w:val="20"/>
        </w:rPr>
        <w:t>xdcb) là giá trị vườn cây cao su xây dựng cơ bản tuổi i;</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w:t>
      </w:r>
      <w:proofErr w:type="gramStart"/>
      <w:r w:rsidRPr="009310CF">
        <w:rPr>
          <w:rFonts w:ascii="Arial" w:eastAsia="Times New Roman" w:hAnsi="Arial" w:cs="Arial"/>
          <w:color w:val="000000"/>
          <w:sz w:val="20"/>
          <w:szCs w:val="20"/>
        </w:rPr>
        <w:t>Dt(</w:t>
      </w:r>
      <w:proofErr w:type="gramEnd"/>
      <w:r w:rsidRPr="009310CF">
        <w:rPr>
          <w:rFonts w:ascii="Arial" w:eastAsia="Times New Roman" w:hAnsi="Arial" w:cs="Arial"/>
          <w:color w:val="000000"/>
          <w:sz w:val="20"/>
          <w:szCs w:val="20"/>
        </w:rPr>
        <w:t>xdcb): Diện tích vườn cây xây dựng cơ bản;</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Siđt là suất đầu tư nông nghiệp của vườn cây cao su xây dựng cơ bản tuổi i;</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w:t>
      </w:r>
      <w:proofErr w:type="gramStart"/>
      <w:r w:rsidRPr="009310CF">
        <w:rPr>
          <w:rFonts w:ascii="Arial" w:eastAsia="Times New Roman" w:hAnsi="Arial" w:cs="Arial"/>
          <w:color w:val="000000"/>
          <w:sz w:val="20"/>
          <w:szCs w:val="20"/>
        </w:rPr>
        <w:t>HSi(</w:t>
      </w:r>
      <w:proofErr w:type="gramEnd"/>
      <w:r w:rsidRPr="009310CF">
        <w:rPr>
          <w:rFonts w:ascii="Arial" w:eastAsia="Times New Roman" w:hAnsi="Arial" w:cs="Arial"/>
          <w:color w:val="000000"/>
          <w:sz w:val="20"/>
          <w:szCs w:val="20"/>
        </w:rPr>
        <w:t>xdcb) là hệ số phân loại vườn cây cao su xây dựng cơ bản tuổi i.</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Giá trị vườn cây xây dựng cơ bản </w:t>
      </w:r>
      <w:proofErr w:type="gramStart"/>
      <w:r w:rsidRPr="009310CF">
        <w:rPr>
          <w:rFonts w:ascii="Arial" w:eastAsia="Times New Roman" w:hAnsi="Arial" w:cs="Arial"/>
          <w:color w:val="000000"/>
          <w:sz w:val="20"/>
          <w:szCs w:val="20"/>
        </w:rPr>
        <w:t>G(</w:t>
      </w:r>
      <w:proofErr w:type="gramEnd"/>
      <w:r w:rsidRPr="009310CF">
        <w:rPr>
          <w:rFonts w:ascii="Arial" w:eastAsia="Times New Roman" w:hAnsi="Arial" w:cs="Arial"/>
          <w:color w:val="000000"/>
          <w:sz w:val="20"/>
          <w:szCs w:val="20"/>
        </w:rPr>
        <w:t>xdcb) = ∑Gi(xdcb)</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b/>
          <w:bCs/>
          <w:color w:val="000000"/>
          <w:sz w:val="20"/>
          <w:szCs w:val="20"/>
        </w:rPr>
        <w:t xml:space="preserve">2. Xác định giá trị vườn cây cao su kinh doanh </w:t>
      </w:r>
      <w:proofErr w:type="gramStart"/>
      <w:r w:rsidRPr="009310CF">
        <w:rPr>
          <w:rFonts w:ascii="Arial" w:eastAsia="Times New Roman" w:hAnsi="Arial" w:cs="Arial"/>
          <w:b/>
          <w:bCs/>
          <w:color w:val="000000"/>
          <w:sz w:val="20"/>
          <w:szCs w:val="20"/>
        </w:rPr>
        <w:t>G(</w:t>
      </w:r>
      <w:proofErr w:type="gramEnd"/>
      <w:r w:rsidRPr="009310CF">
        <w:rPr>
          <w:rFonts w:ascii="Arial" w:eastAsia="Times New Roman" w:hAnsi="Arial" w:cs="Arial"/>
          <w:b/>
          <w:bCs/>
          <w:color w:val="000000"/>
          <w:sz w:val="20"/>
          <w:szCs w:val="20"/>
        </w:rPr>
        <w:t>kd):</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2.1. Giá trị thực tế vườn cây cao su kinh doanh, được xác định cho từng diện tích (ha) của vườn cây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tuổi (i), cụ thể:</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Giá trị thực tế vườn cây (ha) tuổi i Gi (</w:t>
      </w:r>
      <w:proofErr w:type="gramStart"/>
      <w:r w:rsidRPr="009310CF">
        <w:rPr>
          <w:rFonts w:ascii="Arial" w:eastAsia="Times New Roman" w:hAnsi="Arial" w:cs="Arial"/>
          <w:color w:val="000000"/>
          <w:sz w:val="20"/>
          <w:szCs w:val="20"/>
        </w:rPr>
        <w:t>kd</w:t>
      </w:r>
      <w:proofErr w:type="gramEnd"/>
      <w:r w:rsidRPr="009310CF">
        <w:rPr>
          <w:rFonts w:ascii="Arial" w:eastAsia="Times New Roman" w:hAnsi="Arial" w:cs="Arial"/>
          <w:color w:val="000000"/>
          <w:sz w:val="20"/>
          <w:szCs w:val="20"/>
        </w:rPr>
        <w:t>) = (Giá trị còn lại đã điều chỉnh của vườn cây cao su tuổi i x Hệ số phân loại thực tế của vườn cây tuổi i) + Giá trị hiện tại của giá trị thanh lý vườn cây cao su đang kinh doanh tuổi i, trong đó:</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b/>
          <w:bCs/>
          <w:color w:val="000000"/>
          <w:sz w:val="20"/>
          <w:szCs w:val="20"/>
        </w:rPr>
        <w:t>a. Giá trị còn lại đã điều chỉnh của vườn cây cao su:</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Giá trị còn lại đã điều chỉnh của vườn cây cao su tuổi i = Nguyên giá vườn cây đã được đánh giá lại – Giá trị đã khấu hao lũy kế đến thời điểm xác định giá trị doanh nghiệp để cổ phần hóa, trong đó:</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Nguyên giá vườn cây cao su đã được đánh giá lại: Được xác định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suất đầu tư nông nghiệp của cơ quan có thẩm quyền phê duyệt hàng năm cho công ty hoặc theo địa bàn tại thời điểm xác định giá trị doanh nghiệp để cổ phần hóa.</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Giá trị đã khấu hao lũy kế: Được tính từ năm vườn cây bắt đầu khai thác đến thời điểm định giá trên cơ sở nguyên giá vườn cây cao su đánh giá lại và tỷ lệ khấu hao hàng năm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quy định của cơ quan có thẩm quyền ban hành.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b/>
          <w:bCs/>
          <w:color w:val="000000"/>
          <w:sz w:val="20"/>
          <w:szCs w:val="20"/>
        </w:rPr>
        <w:t>b. Hệ số phân loại vườn cây:</w:t>
      </w:r>
      <w:r w:rsidRPr="009310CF">
        <w:rPr>
          <w:rFonts w:ascii="Arial" w:eastAsia="Times New Roman" w:hAnsi="Arial" w:cs="Arial"/>
          <w:b/>
          <w:bCs/>
          <w:color w:val="000000"/>
          <w:sz w:val="20"/>
        </w:rPr>
        <w:t> </w:t>
      </w:r>
      <w:r w:rsidRPr="009310CF">
        <w:rPr>
          <w:rFonts w:ascii="Arial" w:eastAsia="Times New Roman" w:hAnsi="Arial" w:cs="Arial"/>
          <w:color w:val="000000"/>
          <w:sz w:val="20"/>
          <w:szCs w:val="20"/>
        </w:rPr>
        <w:t xml:space="preserve">Được căn cứ vào các tiêu chí quy định về mật độ cây cạo, tình trạng mặt cạo, chất lượng vỏ cạo để đánh giá, phân loại vườn cây kinh doanh. Hệ số phân loại thực tế vườn cây được xác định trên cơ sở kiểm kê, đánh giá vườn cây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các tiêu chí phân loại vườn cây do cơ quan có thẩm quyền quyết định tại thời điểm xác định giá trị doanh nghiệp để cổ phần hóa công ty.</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b/>
          <w:bCs/>
          <w:color w:val="000000"/>
          <w:sz w:val="20"/>
          <w:szCs w:val="20"/>
        </w:rPr>
        <w:t>c. Giá trị hiện tại của giá trị thanh lý vườn cây cao su đang kinh doanh:</w:t>
      </w:r>
      <w:r w:rsidRPr="009310CF">
        <w:rPr>
          <w:rFonts w:ascii="Arial" w:eastAsia="Times New Roman" w:hAnsi="Arial" w:cs="Arial"/>
          <w:b/>
          <w:bCs/>
          <w:color w:val="000000"/>
          <w:sz w:val="20"/>
        </w:rPr>
        <w:t> </w:t>
      </w:r>
      <w:r w:rsidRPr="009310CF">
        <w:rPr>
          <w:rFonts w:ascii="Arial" w:eastAsia="Times New Roman" w:hAnsi="Arial" w:cs="Arial"/>
          <w:color w:val="000000"/>
          <w:sz w:val="20"/>
          <w:szCs w:val="20"/>
        </w:rPr>
        <w:t>Giá trị hiện tại của giá trị thanh lý vườn cây cao su đang kinh doanh chưa hết thời gian khai thác phải được quy về giá trị hiện tại và ghi tăng giá trị doanh nghiệp để cổ phần hóa, cụ thể:</w:t>
      </w:r>
    </w:p>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color w:val="000000"/>
          <w:sz w:val="20"/>
          <w:szCs w:val="20"/>
        </w:rPr>
        <w:t> </w:t>
      </w:r>
    </w:p>
    <w:tbl>
      <w:tblPr>
        <w:tblW w:w="0" w:type="auto"/>
        <w:tblInd w:w="108" w:type="dxa"/>
        <w:tblCellMar>
          <w:left w:w="0" w:type="dxa"/>
          <w:right w:w="0" w:type="dxa"/>
        </w:tblCellMar>
        <w:tblLook w:val="04A0"/>
      </w:tblPr>
      <w:tblGrid>
        <w:gridCol w:w="4860"/>
        <w:gridCol w:w="540"/>
        <w:gridCol w:w="1500"/>
      </w:tblGrid>
      <w:tr w:rsidR="009310CF" w:rsidRPr="009310CF" w:rsidTr="009310CF">
        <w:trPr>
          <w:trHeight w:val="173"/>
        </w:trPr>
        <w:tc>
          <w:tcPr>
            <w:tcW w:w="4860"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9310CF" w:rsidRPr="009310CF" w:rsidRDefault="009310CF" w:rsidP="009310CF">
            <w:pPr>
              <w:spacing w:before="100" w:beforeAutospacing="1" w:after="100" w:afterAutospacing="1" w:line="173" w:lineRule="atLeast"/>
              <w:jc w:val="center"/>
              <w:rPr>
                <w:rFonts w:ascii="Verdana" w:eastAsia="Times New Roman" w:hAnsi="Verdana"/>
                <w:color w:val="000000"/>
                <w:sz w:val="20"/>
                <w:szCs w:val="20"/>
              </w:rPr>
            </w:pPr>
            <w:r w:rsidRPr="009310CF">
              <w:rPr>
                <w:rFonts w:ascii="Arial" w:eastAsia="Times New Roman" w:hAnsi="Arial" w:cs="Arial"/>
                <w:color w:val="000000"/>
                <w:sz w:val="20"/>
                <w:szCs w:val="20"/>
              </w:rPr>
              <w:t>Giá trị hiện tại của giá trị thanh lý vườn cây cao su</w:t>
            </w:r>
          </w:p>
        </w:tc>
        <w:tc>
          <w:tcPr>
            <w:tcW w:w="540"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9310CF" w:rsidRPr="009310CF" w:rsidRDefault="009310CF" w:rsidP="009310CF">
            <w:pPr>
              <w:spacing w:before="100" w:beforeAutospacing="1" w:after="100" w:afterAutospacing="1" w:line="173" w:lineRule="atLeast"/>
              <w:jc w:val="center"/>
              <w:rPr>
                <w:rFonts w:ascii="Verdana" w:eastAsia="Times New Roman" w:hAnsi="Verdana"/>
                <w:color w:val="000000"/>
                <w:sz w:val="20"/>
                <w:szCs w:val="20"/>
              </w:rPr>
            </w:pPr>
            <w:r w:rsidRPr="009310CF">
              <w:rPr>
                <w:rFonts w:ascii="Arial" w:eastAsia="Times New Roman" w:hAnsi="Arial" w:cs="Arial"/>
                <w:color w:val="000000"/>
                <w:sz w:val="20"/>
                <w:szCs w:val="20"/>
              </w:rPr>
              <w:t>=</w:t>
            </w:r>
          </w:p>
        </w:tc>
        <w:tc>
          <w:tcPr>
            <w:tcW w:w="1500" w:type="dxa"/>
            <w:tcBorders>
              <w:top w:val="nil"/>
              <w:left w:val="nil"/>
              <w:bottom w:val="single" w:sz="8" w:space="0" w:color="auto"/>
              <w:right w:val="nil"/>
            </w:tcBorders>
            <w:shd w:val="clear" w:color="auto" w:fill="auto"/>
            <w:tcMar>
              <w:top w:w="0" w:type="dxa"/>
              <w:left w:w="108" w:type="dxa"/>
              <w:bottom w:w="0" w:type="dxa"/>
              <w:right w:w="108" w:type="dxa"/>
            </w:tcMar>
            <w:hideMark/>
          </w:tcPr>
          <w:p w:rsidR="009310CF" w:rsidRPr="009310CF" w:rsidRDefault="009310CF" w:rsidP="009310CF">
            <w:pPr>
              <w:spacing w:before="100" w:beforeAutospacing="1" w:after="100" w:afterAutospacing="1" w:line="173" w:lineRule="atLeast"/>
              <w:jc w:val="center"/>
              <w:rPr>
                <w:rFonts w:ascii="Verdana" w:eastAsia="Times New Roman" w:hAnsi="Verdana"/>
                <w:color w:val="000000"/>
                <w:sz w:val="20"/>
                <w:szCs w:val="20"/>
              </w:rPr>
            </w:pPr>
            <w:r w:rsidRPr="009310CF">
              <w:rPr>
                <w:rFonts w:ascii="Arial" w:eastAsia="Times New Roman" w:hAnsi="Arial" w:cs="Arial"/>
                <w:color w:val="000000"/>
                <w:sz w:val="20"/>
                <w:szCs w:val="20"/>
              </w:rPr>
              <w:t>B</w:t>
            </w:r>
          </w:p>
        </w:tc>
      </w:tr>
      <w:tr w:rsidR="009310CF" w:rsidRPr="009310CF" w:rsidTr="009310CF">
        <w:trPr>
          <w:trHeight w:val="173"/>
        </w:trPr>
        <w:tc>
          <w:tcPr>
            <w:tcW w:w="0" w:type="auto"/>
            <w:vMerge/>
            <w:tcBorders>
              <w:top w:val="nil"/>
              <w:left w:val="nil"/>
              <w:bottom w:val="nil"/>
              <w:right w:val="nil"/>
            </w:tcBorders>
            <w:vAlign w:val="center"/>
            <w:hideMark/>
          </w:tcPr>
          <w:p w:rsidR="009310CF" w:rsidRPr="009310CF" w:rsidRDefault="009310CF" w:rsidP="009310CF">
            <w:pPr>
              <w:spacing w:after="0" w:line="240" w:lineRule="auto"/>
              <w:rPr>
                <w:rFonts w:ascii="Verdana" w:eastAsia="Times New Roman" w:hAnsi="Verdana"/>
                <w:color w:val="000000"/>
                <w:sz w:val="20"/>
                <w:szCs w:val="20"/>
              </w:rPr>
            </w:pPr>
          </w:p>
        </w:tc>
        <w:tc>
          <w:tcPr>
            <w:tcW w:w="0" w:type="auto"/>
            <w:vMerge/>
            <w:tcBorders>
              <w:top w:val="nil"/>
              <w:left w:val="nil"/>
              <w:bottom w:val="nil"/>
              <w:right w:val="nil"/>
            </w:tcBorders>
            <w:vAlign w:val="center"/>
            <w:hideMark/>
          </w:tcPr>
          <w:p w:rsidR="009310CF" w:rsidRPr="009310CF" w:rsidRDefault="009310CF" w:rsidP="009310CF">
            <w:pPr>
              <w:spacing w:after="0" w:line="240" w:lineRule="auto"/>
              <w:rPr>
                <w:rFonts w:ascii="Verdana" w:eastAsia="Times New Roman" w:hAnsi="Verdana"/>
                <w:color w:val="000000"/>
                <w:sz w:val="20"/>
                <w:szCs w:val="20"/>
              </w:rPr>
            </w:pPr>
          </w:p>
        </w:tc>
        <w:tc>
          <w:tcPr>
            <w:tcW w:w="1500" w:type="dxa"/>
            <w:tcBorders>
              <w:top w:val="nil"/>
              <w:left w:val="nil"/>
              <w:bottom w:val="nil"/>
              <w:right w:val="nil"/>
            </w:tcBorders>
            <w:shd w:val="clear" w:color="auto" w:fill="auto"/>
            <w:tcMar>
              <w:top w:w="0" w:type="dxa"/>
              <w:left w:w="108" w:type="dxa"/>
              <w:bottom w:w="0" w:type="dxa"/>
              <w:right w:w="108" w:type="dxa"/>
            </w:tcMar>
            <w:hideMark/>
          </w:tcPr>
          <w:p w:rsidR="009310CF" w:rsidRPr="009310CF" w:rsidRDefault="009310CF" w:rsidP="009310CF">
            <w:pPr>
              <w:spacing w:before="100" w:beforeAutospacing="1" w:after="100" w:afterAutospacing="1" w:line="173" w:lineRule="atLeast"/>
              <w:jc w:val="center"/>
              <w:rPr>
                <w:rFonts w:ascii="Verdana" w:eastAsia="Times New Roman" w:hAnsi="Verdana"/>
                <w:color w:val="000000"/>
                <w:sz w:val="20"/>
                <w:szCs w:val="20"/>
              </w:rPr>
            </w:pPr>
            <w:r w:rsidRPr="009310CF">
              <w:rPr>
                <w:rFonts w:ascii="Arial" w:eastAsia="Times New Roman" w:hAnsi="Arial" w:cs="Arial"/>
                <w:color w:val="000000"/>
                <w:sz w:val="20"/>
                <w:szCs w:val="20"/>
              </w:rPr>
              <w:t>(1+k)</w:t>
            </w:r>
            <w:r w:rsidRPr="009310CF">
              <w:rPr>
                <w:rFonts w:ascii="Arial" w:eastAsia="Times New Roman" w:hAnsi="Arial" w:cs="Arial"/>
                <w:color w:val="000000"/>
                <w:sz w:val="20"/>
                <w:szCs w:val="20"/>
                <w:vertAlign w:val="superscript"/>
              </w:rPr>
              <w:t>(n+m-i)</w:t>
            </w:r>
          </w:p>
        </w:tc>
      </w:tr>
    </w:tbl>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color w:val="000000"/>
          <w:sz w:val="20"/>
          <w:szCs w:val="20"/>
        </w:rPr>
        <w:t> </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Trong đó:</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B = Giá trị thanh lý/cây x Số cây cao su thực tế thanh lý x (1 - tỷ lệ gãy đổ bình quân</w:t>
      </w:r>
      <w:proofErr w:type="gramStart"/>
      <w:r w:rsidRPr="009310CF">
        <w:rPr>
          <w:rFonts w:ascii="Arial" w:eastAsia="Times New Roman" w:hAnsi="Arial" w:cs="Arial"/>
          <w:color w:val="000000"/>
          <w:sz w:val="20"/>
          <w:szCs w:val="20"/>
        </w:rPr>
        <w:t>)</w:t>
      </w:r>
      <w:r w:rsidRPr="009310CF">
        <w:rPr>
          <w:rFonts w:ascii="Arial" w:eastAsia="Times New Roman" w:hAnsi="Arial" w:cs="Arial"/>
          <w:color w:val="000000"/>
          <w:sz w:val="20"/>
          <w:szCs w:val="20"/>
          <w:vertAlign w:val="superscript"/>
        </w:rPr>
        <w:t>(</w:t>
      </w:r>
      <w:proofErr w:type="gramEnd"/>
      <w:r w:rsidRPr="009310CF">
        <w:rPr>
          <w:rFonts w:ascii="Arial" w:eastAsia="Times New Roman" w:hAnsi="Arial" w:cs="Arial"/>
          <w:color w:val="000000"/>
          <w:sz w:val="20"/>
          <w:szCs w:val="20"/>
          <w:vertAlign w:val="superscript"/>
        </w:rPr>
        <w:t>n+m-i)</w:t>
      </w:r>
      <w:r w:rsidRPr="009310CF">
        <w:rPr>
          <w:rFonts w:ascii="Arial" w:eastAsia="Times New Roman" w:hAnsi="Arial" w:cs="Arial"/>
          <w:color w:val="000000"/>
          <w:sz w:val="20"/>
          <w:szCs w:val="20"/>
        </w:rPr>
        <w:t>, trong đó:</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Giá trị thanh lý/cây: Được xác định </w:t>
      </w:r>
      <w:proofErr w:type="gramStart"/>
      <w:r w:rsidRPr="009310CF">
        <w:rPr>
          <w:rFonts w:ascii="Arial" w:eastAsia="Times New Roman" w:hAnsi="Arial" w:cs="Arial"/>
          <w:color w:val="000000"/>
          <w:sz w:val="20"/>
          <w:szCs w:val="20"/>
        </w:rPr>
        <w:t>theo</w:t>
      </w:r>
      <w:proofErr w:type="gramEnd"/>
      <w:r w:rsidRPr="009310CF">
        <w:rPr>
          <w:rFonts w:ascii="Arial" w:eastAsia="Times New Roman" w:hAnsi="Arial" w:cs="Arial"/>
          <w:color w:val="000000"/>
          <w:sz w:val="20"/>
          <w:szCs w:val="20"/>
        </w:rPr>
        <w:t xml:space="preserve"> phương pháp bình quân gia quyền của năm xác định giá trị doanh nghiệp để cổ phần hóa công ty, theo công thức:</w:t>
      </w:r>
    </w:p>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color w:val="000000"/>
          <w:sz w:val="20"/>
          <w:szCs w:val="20"/>
        </w:rPr>
        <w:t> </w:t>
      </w:r>
    </w:p>
    <w:tbl>
      <w:tblPr>
        <w:tblW w:w="0" w:type="auto"/>
        <w:tblInd w:w="108" w:type="dxa"/>
        <w:tblCellMar>
          <w:left w:w="0" w:type="dxa"/>
          <w:right w:w="0" w:type="dxa"/>
        </w:tblCellMar>
        <w:tblLook w:val="04A0"/>
      </w:tblPr>
      <w:tblGrid>
        <w:gridCol w:w="2040"/>
        <w:gridCol w:w="540"/>
        <w:gridCol w:w="5592"/>
      </w:tblGrid>
      <w:tr w:rsidR="009310CF" w:rsidRPr="009310CF" w:rsidTr="009310CF">
        <w:trPr>
          <w:trHeight w:val="173"/>
        </w:trPr>
        <w:tc>
          <w:tcPr>
            <w:tcW w:w="2040"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9310CF" w:rsidRPr="009310CF" w:rsidRDefault="009310CF" w:rsidP="009310CF">
            <w:pPr>
              <w:spacing w:before="100" w:beforeAutospacing="1" w:after="100" w:afterAutospacing="1" w:line="173" w:lineRule="atLeast"/>
              <w:jc w:val="center"/>
              <w:rPr>
                <w:rFonts w:ascii="Verdana" w:eastAsia="Times New Roman" w:hAnsi="Verdana"/>
                <w:color w:val="000000"/>
                <w:sz w:val="20"/>
                <w:szCs w:val="20"/>
              </w:rPr>
            </w:pPr>
            <w:r w:rsidRPr="009310CF">
              <w:rPr>
                <w:rFonts w:ascii="Arial" w:eastAsia="Times New Roman" w:hAnsi="Arial" w:cs="Arial"/>
                <w:color w:val="000000"/>
                <w:sz w:val="20"/>
                <w:szCs w:val="20"/>
              </w:rPr>
              <w:t>Giá trị thanh lý/cây</w:t>
            </w:r>
          </w:p>
        </w:tc>
        <w:tc>
          <w:tcPr>
            <w:tcW w:w="540" w:type="dxa"/>
            <w:vMerge w:val="restart"/>
            <w:tcBorders>
              <w:top w:val="nil"/>
              <w:left w:val="nil"/>
              <w:bottom w:val="nil"/>
              <w:right w:val="nil"/>
            </w:tcBorders>
            <w:shd w:val="clear" w:color="auto" w:fill="auto"/>
            <w:tcMar>
              <w:top w:w="0" w:type="dxa"/>
              <w:left w:w="108" w:type="dxa"/>
              <w:bottom w:w="0" w:type="dxa"/>
              <w:right w:w="108" w:type="dxa"/>
            </w:tcMar>
            <w:vAlign w:val="center"/>
            <w:hideMark/>
          </w:tcPr>
          <w:p w:rsidR="009310CF" w:rsidRPr="009310CF" w:rsidRDefault="009310CF" w:rsidP="009310CF">
            <w:pPr>
              <w:spacing w:before="100" w:beforeAutospacing="1" w:after="100" w:afterAutospacing="1" w:line="173" w:lineRule="atLeast"/>
              <w:jc w:val="center"/>
              <w:rPr>
                <w:rFonts w:ascii="Verdana" w:eastAsia="Times New Roman" w:hAnsi="Verdana"/>
                <w:color w:val="000000"/>
                <w:sz w:val="20"/>
                <w:szCs w:val="20"/>
              </w:rPr>
            </w:pPr>
            <w:r w:rsidRPr="009310CF">
              <w:rPr>
                <w:rFonts w:ascii="Arial" w:eastAsia="Times New Roman" w:hAnsi="Arial" w:cs="Arial"/>
                <w:color w:val="000000"/>
                <w:sz w:val="20"/>
                <w:szCs w:val="20"/>
              </w:rPr>
              <w:t>=</w:t>
            </w:r>
          </w:p>
        </w:tc>
        <w:tc>
          <w:tcPr>
            <w:tcW w:w="5592" w:type="dxa"/>
            <w:tcBorders>
              <w:top w:val="nil"/>
              <w:left w:val="nil"/>
              <w:bottom w:val="single" w:sz="8" w:space="0" w:color="auto"/>
              <w:right w:val="nil"/>
            </w:tcBorders>
            <w:shd w:val="clear" w:color="auto" w:fill="auto"/>
            <w:tcMar>
              <w:top w:w="0" w:type="dxa"/>
              <w:left w:w="108" w:type="dxa"/>
              <w:bottom w:w="0" w:type="dxa"/>
              <w:right w:w="108" w:type="dxa"/>
            </w:tcMar>
            <w:hideMark/>
          </w:tcPr>
          <w:p w:rsidR="009310CF" w:rsidRPr="009310CF" w:rsidRDefault="009310CF" w:rsidP="009310CF">
            <w:pPr>
              <w:spacing w:before="100" w:beforeAutospacing="1" w:after="100" w:afterAutospacing="1" w:line="173" w:lineRule="atLeast"/>
              <w:jc w:val="center"/>
              <w:rPr>
                <w:rFonts w:ascii="Verdana" w:eastAsia="Times New Roman" w:hAnsi="Verdana"/>
                <w:color w:val="000000"/>
                <w:sz w:val="20"/>
                <w:szCs w:val="20"/>
              </w:rPr>
            </w:pPr>
            <w:r w:rsidRPr="009310CF">
              <w:rPr>
                <w:rFonts w:ascii="Arial" w:eastAsia="Times New Roman" w:hAnsi="Arial" w:cs="Arial"/>
                <w:color w:val="000000"/>
                <w:sz w:val="20"/>
                <w:szCs w:val="20"/>
              </w:rPr>
              <w:t>Tổng doanh thu thanh lý vườn cây năm CPH công ty</w:t>
            </w:r>
          </w:p>
        </w:tc>
      </w:tr>
      <w:tr w:rsidR="009310CF" w:rsidRPr="009310CF" w:rsidTr="009310CF">
        <w:trPr>
          <w:trHeight w:val="173"/>
        </w:trPr>
        <w:tc>
          <w:tcPr>
            <w:tcW w:w="0" w:type="auto"/>
            <w:vMerge/>
            <w:tcBorders>
              <w:top w:val="nil"/>
              <w:left w:val="nil"/>
              <w:bottom w:val="nil"/>
              <w:right w:val="nil"/>
            </w:tcBorders>
            <w:vAlign w:val="center"/>
            <w:hideMark/>
          </w:tcPr>
          <w:p w:rsidR="009310CF" w:rsidRPr="009310CF" w:rsidRDefault="009310CF" w:rsidP="009310CF">
            <w:pPr>
              <w:spacing w:after="0" w:line="240" w:lineRule="auto"/>
              <w:rPr>
                <w:rFonts w:ascii="Verdana" w:eastAsia="Times New Roman" w:hAnsi="Verdana"/>
                <w:color w:val="000000"/>
                <w:sz w:val="20"/>
                <w:szCs w:val="20"/>
              </w:rPr>
            </w:pPr>
          </w:p>
        </w:tc>
        <w:tc>
          <w:tcPr>
            <w:tcW w:w="0" w:type="auto"/>
            <w:vMerge/>
            <w:tcBorders>
              <w:top w:val="nil"/>
              <w:left w:val="nil"/>
              <w:bottom w:val="nil"/>
              <w:right w:val="nil"/>
            </w:tcBorders>
            <w:vAlign w:val="center"/>
            <w:hideMark/>
          </w:tcPr>
          <w:p w:rsidR="009310CF" w:rsidRPr="009310CF" w:rsidRDefault="009310CF" w:rsidP="009310CF">
            <w:pPr>
              <w:spacing w:after="0" w:line="240" w:lineRule="auto"/>
              <w:rPr>
                <w:rFonts w:ascii="Verdana" w:eastAsia="Times New Roman" w:hAnsi="Verdana"/>
                <w:color w:val="000000"/>
                <w:sz w:val="20"/>
                <w:szCs w:val="20"/>
              </w:rPr>
            </w:pPr>
          </w:p>
        </w:tc>
        <w:tc>
          <w:tcPr>
            <w:tcW w:w="5592" w:type="dxa"/>
            <w:tcBorders>
              <w:top w:val="nil"/>
              <w:left w:val="nil"/>
              <w:bottom w:val="nil"/>
              <w:right w:val="nil"/>
            </w:tcBorders>
            <w:shd w:val="clear" w:color="auto" w:fill="auto"/>
            <w:tcMar>
              <w:top w:w="0" w:type="dxa"/>
              <w:left w:w="108" w:type="dxa"/>
              <w:bottom w:w="0" w:type="dxa"/>
              <w:right w:w="108" w:type="dxa"/>
            </w:tcMar>
            <w:hideMark/>
          </w:tcPr>
          <w:p w:rsidR="009310CF" w:rsidRPr="009310CF" w:rsidRDefault="009310CF" w:rsidP="009310CF">
            <w:pPr>
              <w:spacing w:before="100" w:beforeAutospacing="1" w:after="100" w:afterAutospacing="1" w:line="173" w:lineRule="atLeast"/>
              <w:jc w:val="center"/>
              <w:rPr>
                <w:rFonts w:ascii="Verdana" w:eastAsia="Times New Roman" w:hAnsi="Verdana"/>
                <w:color w:val="000000"/>
                <w:sz w:val="20"/>
                <w:szCs w:val="20"/>
              </w:rPr>
            </w:pPr>
            <w:r w:rsidRPr="009310CF">
              <w:rPr>
                <w:rFonts w:ascii="Arial" w:eastAsia="Times New Roman" w:hAnsi="Arial" w:cs="Arial"/>
                <w:color w:val="000000"/>
                <w:sz w:val="20"/>
                <w:szCs w:val="20"/>
              </w:rPr>
              <w:t>Tổng số cây thanh lý trong năm</w:t>
            </w:r>
          </w:p>
        </w:tc>
      </w:tr>
    </w:tbl>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color w:val="000000"/>
          <w:sz w:val="20"/>
          <w:szCs w:val="20"/>
        </w:rPr>
        <w:t> </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Số cây cao su thực tế thanh lý: Là số cây cao su thực tế thanh lý của vườn cây cao su tính hiện giá tại thời điểm xác định giá trị doanh nghiệp để cổ phần hóa công ty.</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Tỷ lệ cây gãy đổ bình quân (cây gãy đổ/tổng số cây hữu hiệu): Theo thống kê thực tế từng công ty trong thời gian 03 năm liền kề với năm xác định giá trị doanh nghiệp để cổ phần hóa (không bao gồm số cây gãy đổ, chết do thiên tai bão, lốc, hỏa hoạn, địch họa) với tỷ lệ tối đa không vượt 1</w:t>
      </w:r>
      <w:proofErr w:type="gramStart"/>
      <w:r w:rsidRPr="009310CF">
        <w:rPr>
          <w:rFonts w:ascii="Arial" w:eastAsia="Times New Roman" w:hAnsi="Arial" w:cs="Arial"/>
          <w:color w:val="000000"/>
          <w:sz w:val="20"/>
          <w:szCs w:val="20"/>
        </w:rPr>
        <w:t>,5</w:t>
      </w:r>
      <w:proofErr w:type="gramEnd"/>
      <w:r w:rsidRPr="009310CF">
        <w:rPr>
          <w:rFonts w:ascii="Arial" w:eastAsia="Times New Roman" w:hAnsi="Arial" w:cs="Arial"/>
          <w:color w:val="000000"/>
          <w:sz w:val="20"/>
          <w:szCs w:val="20"/>
        </w:rPr>
        <w:t>%.</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k: Lãi suất của trái phiếu Chính phủ có kỳ hạn 05 năm do Bộ Tài chính công bố tại thời điểm gần nhất với thời điểm xác định giá trị doanh nghiệp để cổ phần hóa công ty.</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w:t>
      </w:r>
      <w:proofErr w:type="gramStart"/>
      <w:r w:rsidRPr="009310CF">
        <w:rPr>
          <w:rFonts w:ascii="Arial" w:eastAsia="Times New Roman" w:hAnsi="Arial" w:cs="Arial"/>
          <w:color w:val="000000"/>
          <w:sz w:val="20"/>
          <w:szCs w:val="20"/>
        </w:rPr>
        <w:t>i</w:t>
      </w:r>
      <w:proofErr w:type="gramEnd"/>
      <w:r w:rsidRPr="009310CF">
        <w:rPr>
          <w:rFonts w:ascii="Arial" w:eastAsia="Times New Roman" w:hAnsi="Arial" w:cs="Arial"/>
          <w:color w:val="000000"/>
          <w:sz w:val="20"/>
          <w:szCs w:val="20"/>
        </w:rPr>
        <w:t xml:space="preserve"> là độ tuổi thực tế của vườn cây cao su.</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w:t>
      </w:r>
      <w:proofErr w:type="gramStart"/>
      <w:r w:rsidRPr="009310CF">
        <w:rPr>
          <w:rFonts w:ascii="Arial" w:eastAsia="Times New Roman" w:hAnsi="Arial" w:cs="Arial"/>
          <w:color w:val="000000"/>
          <w:sz w:val="20"/>
          <w:szCs w:val="20"/>
        </w:rPr>
        <w:t>m</w:t>
      </w:r>
      <w:proofErr w:type="gramEnd"/>
      <w:r w:rsidRPr="009310CF">
        <w:rPr>
          <w:rFonts w:ascii="Arial" w:eastAsia="Times New Roman" w:hAnsi="Arial" w:cs="Arial"/>
          <w:color w:val="000000"/>
          <w:sz w:val="20"/>
          <w:szCs w:val="20"/>
        </w:rPr>
        <w:t xml:space="preserve"> là số năm xây dựng cơ bản vườn cây (7 năm).</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 </w:t>
      </w:r>
      <w:proofErr w:type="gramStart"/>
      <w:r w:rsidRPr="009310CF">
        <w:rPr>
          <w:rFonts w:ascii="Arial" w:eastAsia="Times New Roman" w:hAnsi="Arial" w:cs="Arial"/>
          <w:color w:val="000000"/>
          <w:sz w:val="20"/>
          <w:szCs w:val="20"/>
        </w:rPr>
        <w:t>n</w:t>
      </w:r>
      <w:proofErr w:type="gramEnd"/>
      <w:r w:rsidRPr="009310CF">
        <w:rPr>
          <w:rFonts w:ascii="Arial" w:eastAsia="Times New Roman" w:hAnsi="Arial" w:cs="Arial"/>
          <w:color w:val="000000"/>
          <w:sz w:val="20"/>
          <w:szCs w:val="20"/>
        </w:rPr>
        <w:t xml:space="preserve"> là thời gian khai thác vườn cây cao su (20 năm).</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b/>
          <w:bCs/>
          <w:color w:val="000000"/>
          <w:sz w:val="20"/>
          <w:szCs w:val="20"/>
        </w:rPr>
        <w:t>d. Hạch toán nguyên giá và khấu hao Giá trị hiện tại của giá trị thanh lý vườn cây cao su đang kinh doanh: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Giá trị hiện tại của giá trị thanh lý vườn cây cao su đang kinh doanh được ghi nhận là tài sản cố định vô hình.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Giá trị hiện tại của giá trị thanh lý vườn cây cao su đang kinh doanh không tiến hành trích khấu hao trong thời gian sử dụng vườn cây cao su kinh doanh và sẽ được trích khấu hao một lần tại thời điểm thanh lý vườn cây cao su.</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2.2. Giá trị vườn cây kinh doanh </w:t>
      </w:r>
      <w:proofErr w:type="gramStart"/>
      <w:r w:rsidRPr="009310CF">
        <w:rPr>
          <w:rFonts w:ascii="Arial" w:eastAsia="Times New Roman" w:hAnsi="Arial" w:cs="Arial"/>
          <w:color w:val="000000"/>
          <w:sz w:val="20"/>
          <w:szCs w:val="20"/>
        </w:rPr>
        <w:t>G(</w:t>
      </w:r>
      <w:proofErr w:type="gramEnd"/>
      <w:r w:rsidRPr="009310CF">
        <w:rPr>
          <w:rFonts w:ascii="Arial" w:eastAsia="Times New Roman" w:hAnsi="Arial" w:cs="Arial"/>
          <w:color w:val="000000"/>
          <w:sz w:val="20"/>
          <w:szCs w:val="20"/>
        </w:rPr>
        <w:t>kd) = ∑Gi (kd)</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b/>
          <w:bCs/>
          <w:color w:val="000000"/>
          <w:sz w:val="20"/>
          <w:szCs w:val="20"/>
        </w:rPr>
        <w:t>3. Giá trị vườn cây cao su để cổ phần hóa:</w:t>
      </w:r>
    </w:p>
    <w:p w:rsidR="009310CF" w:rsidRPr="009310CF" w:rsidRDefault="009310CF" w:rsidP="009310CF">
      <w:pPr>
        <w:spacing w:after="12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 xml:space="preserve">Giá trị vườn cây cao su để cổ phần hóa (G) = Giá trị vườn cây xây dựng cơ bản </w:t>
      </w:r>
      <w:proofErr w:type="gramStart"/>
      <w:r w:rsidRPr="009310CF">
        <w:rPr>
          <w:rFonts w:ascii="Arial" w:eastAsia="Times New Roman" w:hAnsi="Arial" w:cs="Arial"/>
          <w:color w:val="000000"/>
          <w:sz w:val="20"/>
          <w:szCs w:val="20"/>
        </w:rPr>
        <w:t>G(</w:t>
      </w:r>
      <w:proofErr w:type="gramEnd"/>
      <w:r w:rsidRPr="009310CF">
        <w:rPr>
          <w:rFonts w:ascii="Arial" w:eastAsia="Times New Roman" w:hAnsi="Arial" w:cs="Arial"/>
          <w:color w:val="000000"/>
          <w:sz w:val="20"/>
          <w:szCs w:val="20"/>
        </w:rPr>
        <w:t>xdcb) + giá trị vườn cây cao su kinh doanh G(kd).</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b/>
          <w:bCs/>
          <w:color w:val="000000"/>
          <w:sz w:val="20"/>
          <w:szCs w:val="20"/>
        </w:rPr>
        <w:t>Điều 6.</w:t>
      </w:r>
      <w:proofErr w:type="gramEnd"/>
      <w:r w:rsidRPr="009310CF">
        <w:rPr>
          <w:rFonts w:ascii="Arial" w:eastAsia="Times New Roman" w:hAnsi="Arial" w:cs="Arial"/>
          <w:b/>
          <w:bCs/>
          <w:color w:val="000000"/>
          <w:sz w:val="20"/>
          <w:szCs w:val="20"/>
        </w:rPr>
        <w:t xml:space="preserve"> Hiệu lực thi hành</w:t>
      </w:r>
    </w:p>
    <w:p w:rsidR="009310CF" w:rsidRPr="009310CF" w:rsidRDefault="009310CF" w:rsidP="009310CF">
      <w:pPr>
        <w:spacing w:after="120" w:line="240" w:lineRule="auto"/>
        <w:ind w:firstLine="720"/>
        <w:jc w:val="both"/>
        <w:rPr>
          <w:rFonts w:ascii="Verdana" w:eastAsia="Times New Roman" w:hAnsi="Verdana"/>
          <w:color w:val="000000"/>
          <w:sz w:val="20"/>
          <w:szCs w:val="20"/>
        </w:rPr>
      </w:pPr>
      <w:proofErr w:type="gramStart"/>
      <w:r w:rsidRPr="009310CF">
        <w:rPr>
          <w:rFonts w:ascii="Arial" w:eastAsia="Times New Roman" w:hAnsi="Arial" w:cs="Arial"/>
          <w:color w:val="000000"/>
          <w:sz w:val="20"/>
          <w:szCs w:val="20"/>
        </w:rPr>
        <w:t>Thông tư này có hiệu lực thi hành kể từ ngày 15/11/2011.</w:t>
      </w:r>
      <w:proofErr w:type="gramEnd"/>
    </w:p>
    <w:p w:rsidR="009310CF" w:rsidRPr="009310CF" w:rsidRDefault="009310CF" w:rsidP="009310CF">
      <w:pPr>
        <w:spacing w:after="0" w:line="240" w:lineRule="auto"/>
        <w:ind w:firstLine="720"/>
        <w:jc w:val="both"/>
        <w:rPr>
          <w:rFonts w:ascii="Verdana" w:eastAsia="Times New Roman" w:hAnsi="Verdana"/>
          <w:color w:val="000000"/>
          <w:sz w:val="20"/>
          <w:szCs w:val="20"/>
        </w:rPr>
      </w:pPr>
      <w:r w:rsidRPr="009310CF">
        <w:rPr>
          <w:rFonts w:ascii="Arial" w:eastAsia="Times New Roman" w:hAnsi="Arial" w:cs="Arial"/>
          <w:color w:val="000000"/>
          <w:sz w:val="20"/>
          <w:szCs w:val="20"/>
        </w:rPr>
        <w:t>Trong quá trình thực hiện nếu có khó khăn vướng mắc, đề nghị các cơ quan, đơn vị phản ánh về Bộ Tài chính để nghiên cứu, sửa đổi, bổ sung./.</w:t>
      </w:r>
    </w:p>
    <w:p w:rsidR="009310CF" w:rsidRPr="009310CF" w:rsidRDefault="009310CF" w:rsidP="009310CF">
      <w:pPr>
        <w:spacing w:after="0" w:line="240" w:lineRule="auto"/>
        <w:jc w:val="both"/>
        <w:rPr>
          <w:rFonts w:ascii="Verdana" w:eastAsia="Times New Roman" w:hAnsi="Verdana"/>
          <w:color w:val="000000"/>
          <w:sz w:val="20"/>
          <w:szCs w:val="20"/>
        </w:rPr>
      </w:pPr>
      <w:r w:rsidRPr="009310CF">
        <w:rPr>
          <w:rFonts w:ascii="Verdana" w:eastAsia="Times New Roman" w:hAnsi="Verdana"/>
          <w:color w:val="000000"/>
          <w:sz w:val="20"/>
          <w:szCs w:val="20"/>
        </w:rPr>
        <w:t> </w:t>
      </w:r>
    </w:p>
    <w:tbl>
      <w:tblPr>
        <w:tblW w:w="0" w:type="auto"/>
        <w:tblInd w:w="108" w:type="dxa"/>
        <w:tblCellMar>
          <w:left w:w="0" w:type="dxa"/>
          <w:right w:w="0" w:type="dxa"/>
        </w:tblCellMar>
        <w:tblLook w:val="04A0"/>
      </w:tblPr>
      <w:tblGrid>
        <w:gridCol w:w="4428"/>
      </w:tblGrid>
      <w:tr w:rsidR="009310CF" w:rsidRPr="009310CF" w:rsidTr="009310CF">
        <w:tc>
          <w:tcPr>
            <w:tcW w:w="4428" w:type="dxa"/>
            <w:tcBorders>
              <w:top w:val="nil"/>
              <w:left w:val="nil"/>
              <w:bottom w:val="nil"/>
              <w:right w:val="nil"/>
            </w:tcBorders>
            <w:shd w:val="clear" w:color="auto" w:fill="auto"/>
            <w:tcMar>
              <w:top w:w="0" w:type="dxa"/>
              <w:left w:w="108" w:type="dxa"/>
              <w:bottom w:w="0" w:type="dxa"/>
              <w:right w:w="108" w:type="dxa"/>
            </w:tcMar>
            <w:hideMark/>
          </w:tcPr>
          <w:p w:rsidR="009310CF" w:rsidRPr="009310CF" w:rsidRDefault="009310CF" w:rsidP="009310CF">
            <w:pPr>
              <w:spacing w:before="100" w:beforeAutospacing="1" w:after="100" w:afterAutospacing="1" w:line="240" w:lineRule="auto"/>
              <w:jc w:val="both"/>
              <w:divId w:val="365179228"/>
              <w:rPr>
                <w:rFonts w:ascii="Verdana" w:eastAsia="Times New Roman" w:hAnsi="Verdana"/>
                <w:color w:val="000000"/>
                <w:sz w:val="20"/>
                <w:szCs w:val="20"/>
              </w:rPr>
            </w:pPr>
            <w:r w:rsidRPr="009310CF">
              <w:rPr>
                <w:rFonts w:ascii="Arial" w:eastAsia="Times New Roman" w:hAnsi="Arial" w:cs="Arial"/>
                <w:color w:val="000000"/>
                <w:sz w:val="20"/>
                <w:szCs w:val="20"/>
              </w:rPr>
              <w:t> </w:t>
            </w:r>
            <w:r w:rsidRPr="009310CF">
              <w:rPr>
                <w:rFonts w:ascii="Arial" w:eastAsia="Times New Roman" w:hAnsi="Arial" w:cs="Arial"/>
                <w:b/>
                <w:bCs/>
                <w:i/>
                <w:iCs/>
                <w:color w:val="000000"/>
                <w:sz w:val="20"/>
                <w:szCs w:val="20"/>
              </w:rPr>
              <w:t>Nơi nhận:</w:t>
            </w:r>
            <w:r w:rsidRPr="009310CF">
              <w:rPr>
                <w:rFonts w:ascii="Arial" w:eastAsia="Times New Roman" w:hAnsi="Arial" w:cs="Arial"/>
                <w:b/>
                <w:bCs/>
                <w:i/>
                <w:iCs/>
                <w:color w:val="000000"/>
                <w:sz w:val="20"/>
                <w:szCs w:val="20"/>
              </w:rPr>
              <w:br/>
            </w:r>
            <w:r w:rsidRPr="009310CF">
              <w:rPr>
                <w:rFonts w:ascii="Arial" w:eastAsia="Times New Roman" w:hAnsi="Arial" w:cs="Arial"/>
                <w:color w:val="000000"/>
                <w:sz w:val="20"/>
                <w:szCs w:val="20"/>
              </w:rPr>
              <w:t>- Thủ tướng, các Phó Thủ tướng Chính phủ;</w:t>
            </w:r>
            <w:r w:rsidRPr="009310CF">
              <w:rPr>
                <w:rFonts w:ascii="Arial" w:eastAsia="Times New Roman" w:hAnsi="Arial" w:cs="Arial"/>
                <w:color w:val="000000"/>
                <w:sz w:val="20"/>
                <w:szCs w:val="20"/>
              </w:rPr>
              <w:br/>
              <w:t>- Các Bộ, cơ quan ngang Bộ, C/quan thuộc CP;</w:t>
            </w:r>
            <w:r w:rsidRPr="009310CF">
              <w:rPr>
                <w:rFonts w:ascii="Arial" w:eastAsia="Times New Roman" w:hAnsi="Arial" w:cs="Arial"/>
                <w:color w:val="000000"/>
                <w:sz w:val="20"/>
                <w:szCs w:val="20"/>
              </w:rPr>
              <w:br/>
              <w:t>- HĐND, UBND các tỉnh, TP trực thuộc TW;</w:t>
            </w:r>
            <w:r w:rsidRPr="009310CF">
              <w:rPr>
                <w:rFonts w:ascii="Arial" w:eastAsia="Times New Roman" w:hAnsi="Arial" w:cs="Arial"/>
                <w:color w:val="000000"/>
                <w:sz w:val="20"/>
                <w:szCs w:val="20"/>
              </w:rPr>
              <w:br/>
              <w:t>- Văn phòng TW &amp; các Ban của Đảng;</w:t>
            </w:r>
            <w:r w:rsidRPr="009310CF">
              <w:rPr>
                <w:rFonts w:ascii="Arial" w:eastAsia="Times New Roman" w:hAnsi="Arial" w:cs="Arial"/>
                <w:color w:val="000000"/>
                <w:sz w:val="20"/>
                <w:szCs w:val="20"/>
              </w:rPr>
              <w:br/>
              <w:t>- Văn phòng Quốc hội;</w:t>
            </w:r>
            <w:r w:rsidRPr="009310CF">
              <w:rPr>
                <w:rFonts w:ascii="Arial" w:eastAsia="Times New Roman" w:hAnsi="Arial" w:cs="Arial"/>
                <w:color w:val="000000"/>
                <w:sz w:val="20"/>
                <w:szCs w:val="20"/>
              </w:rPr>
              <w:br/>
              <w:t>- Văn phòng Chủ tịch nước;</w:t>
            </w:r>
            <w:r w:rsidRPr="009310CF">
              <w:rPr>
                <w:rFonts w:ascii="Arial" w:eastAsia="Times New Roman" w:hAnsi="Arial" w:cs="Arial"/>
                <w:color w:val="000000"/>
                <w:sz w:val="20"/>
                <w:szCs w:val="20"/>
              </w:rPr>
              <w:br/>
              <w:t>- Văn phòng Chính phủ;</w:t>
            </w:r>
            <w:r w:rsidRPr="009310CF">
              <w:rPr>
                <w:rFonts w:ascii="Arial" w:eastAsia="Times New Roman" w:hAnsi="Arial" w:cs="Arial"/>
                <w:color w:val="000000"/>
                <w:sz w:val="20"/>
                <w:szCs w:val="20"/>
              </w:rPr>
              <w:br/>
              <w:t>- VP ban chỉ đạo TW về phòng, chống tham nhũng;</w:t>
            </w:r>
            <w:r w:rsidRPr="009310CF">
              <w:rPr>
                <w:rFonts w:ascii="Arial" w:eastAsia="Times New Roman" w:hAnsi="Arial" w:cs="Arial"/>
                <w:color w:val="000000"/>
                <w:sz w:val="20"/>
                <w:szCs w:val="20"/>
              </w:rPr>
              <w:br/>
              <w:t>- Tòa án nhân dân tối cao;</w:t>
            </w:r>
            <w:r w:rsidRPr="009310CF">
              <w:rPr>
                <w:rFonts w:ascii="Arial" w:eastAsia="Times New Roman" w:hAnsi="Arial" w:cs="Arial"/>
                <w:color w:val="000000"/>
                <w:sz w:val="20"/>
                <w:szCs w:val="20"/>
              </w:rPr>
              <w:br/>
              <w:t>- Viện Kiểm sát nhân dân tối cao;</w:t>
            </w:r>
            <w:r w:rsidRPr="009310CF">
              <w:rPr>
                <w:rFonts w:ascii="Arial" w:eastAsia="Times New Roman" w:hAnsi="Arial" w:cs="Arial"/>
                <w:color w:val="000000"/>
                <w:sz w:val="20"/>
                <w:szCs w:val="20"/>
              </w:rPr>
              <w:br/>
              <w:t>- Kiểm toán Nhà nước;</w:t>
            </w:r>
            <w:r w:rsidRPr="009310CF">
              <w:rPr>
                <w:rFonts w:ascii="Arial" w:eastAsia="Times New Roman" w:hAnsi="Arial" w:cs="Arial"/>
                <w:color w:val="000000"/>
                <w:sz w:val="20"/>
                <w:szCs w:val="20"/>
              </w:rPr>
              <w:br/>
              <w:t>- Cơ quan TW của các đoàn thể;</w:t>
            </w:r>
            <w:r w:rsidRPr="009310CF">
              <w:rPr>
                <w:rFonts w:ascii="Arial" w:eastAsia="Times New Roman" w:hAnsi="Arial" w:cs="Arial"/>
                <w:color w:val="000000"/>
                <w:sz w:val="20"/>
                <w:szCs w:val="20"/>
              </w:rPr>
              <w:br/>
              <w:t>- Sở T/chính, Cục thuế các tỉnh, TP trực thuộc TW;</w:t>
            </w:r>
            <w:r w:rsidRPr="009310CF">
              <w:rPr>
                <w:rFonts w:ascii="Arial" w:eastAsia="Times New Roman" w:hAnsi="Arial" w:cs="Arial"/>
                <w:color w:val="000000"/>
                <w:sz w:val="20"/>
                <w:szCs w:val="20"/>
              </w:rPr>
              <w:br/>
              <w:t>- Các Tập đoàn kinh tế, Tổng công ty Nhà nước;</w:t>
            </w:r>
            <w:r w:rsidRPr="009310CF">
              <w:rPr>
                <w:rFonts w:ascii="Arial" w:eastAsia="Times New Roman" w:hAnsi="Arial" w:cs="Arial"/>
                <w:color w:val="000000"/>
                <w:sz w:val="20"/>
                <w:szCs w:val="20"/>
              </w:rPr>
              <w:br/>
              <w:t>- Cục Kiểm tra văn bản (Bộ Tư pháp);</w:t>
            </w:r>
            <w:r w:rsidRPr="009310CF">
              <w:rPr>
                <w:rFonts w:ascii="Arial" w:eastAsia="Times New Roman" w:hAnsi="Arial" w:cs="Arial"/>
                <w:color w:val="000000"/>
                <w:sz w:val="20"/>
                <w:szCs w:val="20"/>
              </w:rPr>
              <w:br/>
              <w:t>- Công báo;</w:t>
            </w:r>
            <w:r w:rsidRPr="009310CF">
              <w:rPr>
                <w:rFonts w:ascii="Arial" w:eastAsia="Times New Roman" w:hAnsi="Arial" w:cs="Arial"/>
                <w:color w:val="000000"/>
                <w:sz w:val="20"/>
                <w:szCs w:val="20"/>
              </w:rPr>
              <w:br/>
              <w:t>- Website Chính phủ;</w:t>
            </w:r>
            <w:r w:rsidRPr="009310CF">
              <w:rPr>
                <w:rFonts w:ascii="Arial" w:eastAsia="Times New Roman" w:hAnsi="Arial" w:cs="Arial"/>
                <w:color w:val="000000"/>
                <w:sz w:val="20"/>
                <w:szCs w:val="20"/>
              </w:rPr>
              <w:br/>
              <w:t>- Các đơn vị thuộc Bộ Tài chính;</w:t>
            </w:r>
            <w:r w:rsidRPr="009310CF">
              <w:rPr>
                <w:rFonts w:ascii="Arial" w:eastAsia="Times New Roman" w:hAnsi="Arial" w:cs="Arial"/>
                <w:color w:val="000000"/>
                <w:sz w:val="20"/>
                <w:szCs w:val="20"/>
              </w:rPr>
              <w:br/>
              <w:t>- Website Bộ Tài chính;</w:t>
            </w:r>
            <w:r w:rsidRPr="009310CF">
              <w:rPr>
                <w:rFonts w:ascii="Arial" w:eastAsia="Times New Roman" w:hAnsi="Arial" w:cs="Arial"/>
                <w:color w:val="000000"/>
                <w:sz w:val="20"/>
                <w:szCs w:val="20"/>
              </w:rPr>
              <w:br/>
              <w:t>- Lưu: VT, Cục TCDN.</w:t>
            </w:r>
          </w:p>
        </w:tc>
      </w:tr>
    </w:tbl>
    <w:p w:rsidR="0096324A" w:rsidRPr="009310CF" w:rsidRDefault="0096324A" w:rsidP="009310CF"/>
    <w:sectPr w:rsidR="0096324A" w:rsidRPr="009310CF" w:rsidSect="00382C4D">
      <w:headerReference w:type="default" r:id="rId5"/>
      <w:footerReference w:type="default" r:id="rId6"/>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9310CF"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A67571" w:rsidRPr="00A67571" w:rsidRDefault="009310CF">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9310CF"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90684F" w:rsidRDefault="009310CF" w:rsidP="004D651E">
          <w:pPr>
            <w:pStyle w:val="Heading6"/>
            <w:spacing w:before="0"/>
            <w:rPr>
              <w:rFonts w:ascii="Times New Roman" w:hAnsi="Times New Roman"/>
              <w:sz w:val="20"/>
              <w:lang w:val="en-US" w:eastAsia="en-US"/>
            </w:rPr>
          </w:pPr>
          <w:r w:rsidRPr="0090684F">
            <w:rPr>
              <w:rFonts w:ascii="Times New Roman" w:hAnsi="Times New Roman"/>
              <w:sz w:val="20"/>
              <w:lang w:val="en-US" w:eastAsia="en-US"/>
            </w:rPr>
            <w:t xml:space="preserve">CÔNG TY </w:t>
          </w:r>
          <w:r w:rsidRPr="0090684F">
            <w:rPr>
              <w:rFonts w:ascii="Times New Roman" w:hAnsi="Times New Roman"/>
              <w:sz w:val="20"/>
              <w:lang w:val="en-US" w:eastAsia="en-US"/>
            </w:rPr>
            <w:t>LUẬT TNHH DƯƠNG GIA</w:t>
          </w:r>
          <w:r w:rsidRPr="0090684F">
            <w:rPr>
              <w:rFonts w:ascii="Times New Roman" w:hAnsi="Times New Roman"/>
              <w:sz w:val="20"/>
              <w:lang w:val="en-US" w:eastAsia="en-US"/>
            </w:rPr>
            <w:t xml:space="preserve"> –</w:t>
          </w:r>
          <w:r w:rsidRPr="0090684F">
            <w:rPr>
              <w:rFonts w:ascii="Times New Roman" w:hAnsi="Times New Roman"/>
              <w:sz w:val="20"/>
              <w:lang w:val="en-US" w:eastAsia="en-US"/>
            </w:rPr>
            <w:t xml:space="preserve"> DUONG GIA LAW </w:t>
          </w:r>
          <w:r w:rsidRPr="0090684F">
            <w:rPr>
              <w:rFonts w:ascii="Times New Roman" w:hAnsi="Times New Roman"/>
              <w:sz w:val="20"/>
              <w:lang w:val="en-US" w:eastAsia="en-US"/>
            </w:rPr>
            <w:t xml:space="preserve">COMPANY LIMITED </w:t>
          </w:r>
        </w:p>
        <w:p w:rsidR="00A67571" w:rsidRPr="00A67571" w:rsidRDefault="009310CF" w:rsidP="004D651E">
          <w:pPr>
            <w:rPr>
              <w:rFonts w:ascii="Times New Roman" w:hAnsi="Times New Roman"/>
              <w:sz w:val="20"/>
            </w:rPr>
          </w:pPr>
          <w:r w:rsidRPr="00A67571">
            <w:rPr>
              <w:rFonts w:ascii="Times New Roman" w:hAnsi="Times New Roman"/>
              <w:sz w:val="20"/>
            </w:rPr>
            <w:t>No 2</w:t>
          </w:r>
          <w:r w:rsidRPr="00A67571">
            <w:rPr>
              <w:rFonts w:ascii="Times New Roman" w:hAnsi="Times New Roman"/>
              <w:sz w:val="20"/>
            </w:rPr>
            <w:t>305, VNT Tower, 19  Nguyen Trai Street, Thanh Xuan District, Hanoi City, Viet Nam</w:t>
          </w:r>
        </w:p>
        <w:p w:rsidR="00A67571" w:rsidRPr="00A67571" w:rsidRDefault="009310CF" w:rsidP="004D651E">
          <w:pPr>
            <w:rPr>
              <w:rFonts w:ascii="Times New Roman" w:hAnsi="Times New Roman"/>
              <w:sz w:val="20"/>
            </w:rPr>
          </w:pPr>
          <w:r w:rsidRPr="00A67571">
            <w:rPr>
              <w:rFonts w:ascii="Times New Roman" w:hAnsi="Times New Roman"/>
              <w:sz w:val="20"/>
            </w:rPr>
            <w:t>Tel:   1900.6212 – 1900.6239 – 1900.6190   Fax: 04.3562.7716</w:t>
          </w:r>
        </w:p>
        <w:p w:rsidR="00A67571" w:rsidRPr="00A67571" w:rsidRDefault="009310CF"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9310CF">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3A31"/>
    <w:multiLevelType w:val="multilevel"/>
    <w:tmpl w:val="2FDE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savePreviewPicture/>
  <w:compat/>
  <w:rsids>
    <w:rsidRoot w:val="00E058FB"/>
    <w:rsid w:val="009310CF"/>
    <w:rsid w:val="0096324A"/>
    <w:rsid w:val="00E05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FB"/>
    <w:rPr>
      <w:rFonts w:ascii="Calibri" w:eastAsia="Calibri" w:hAnsi="Calibri" w:cs="Times New Roman"/>
    </w:rPr>
  </w:style>
  <w:style w:type="paragraph" w:styleId="Heading1">
    <w:name w:val="heading 1"/>
    <w:basedOn w:val="Normal"/>
    <w:next w:val="Normal"/>
    <w:link w:val="Heading1Char"/>
    <w:uiPriority w:val="9"/>
    <w:qFormat/>
    <w:rsid w:val="00E058F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058F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058F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058FB"/>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058FB"/>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E058FB"/>
    <w:pPr>
      <w:spacing w:before="240" w:after="60" w:line="240" w:lineRule="auto"/>
      <w:outlineLvl w:val="5"/>
    </w:pPr>
    <w:rPr>
      <w:rFonts w:eastAsia="Times New Roman"/>
      <w:b/>
      <w:bCs/>
      <w:lang/>
    </w:rPr>
  </w:style>
  <w:style w:type="paragraph" w:styleId="Heading7">
    <w:name w:val="heading 7"/>
    <w:basedOn w:val="Normal"/>
    <w:next w:val="Normal"/>
    <w:link w:val="Heading7Char"/>
    <w:uiPriority w:val="9"/>
    <w:semiHidden/>
    <w:unhideWhenUsed/>
    <w:qFormat/>
    <w:rsid w:val="00E058FB"/>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E058FB"/>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8F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058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058F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058F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058FB"/>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058FB"/>
    <w:rPr>
      <w:rFonts w:ascii="Calibri" w:eastAsia="Times New Roman" w:hAnsi="Calibri" w:cs="Times New Roman"/>
      <w:b/>
      <w:bCs/>
      <w:lang/>
    </w:rPr>
  </w:style>
  <w:style w:type="character" w:customStyle="1" w:styleId="Heading7Char">
    <w:name w:val="Heading 7 Char"/>
    <w:basedOn w:val="DefaultParagraphFont"/>
    <w:link w:val="Heading7"/>
    <w:uiPriority w:val="9"/>
    <w:semiHidden/>
    <w:rsid w:val="00E058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058FB"/>
    <w:rPr>
      <w:rFonts w:ascii="Calibri" w:eastAsia="Times New Roman" w:hAnsi="Calibri" w:cs="Times New Roman"/>
      <w:i/>
      <w:iCs/>
      <w:sz w:val="24"/>
      <w:szCs w:val="24"/>
    </w:rPr>
  </w:style>
  <w:style w:type="character" w:styleId="Strong">
    <w:name w:val="Strong"/>
    <w:uiPriority w:val="22"/>
    <w:qFormat/>
    <w:rsid w:val="00E058FB"/>
    <w:rPr>
      <w:b/>
      <w:bCs/>
    </w:rPr>
  </w:style>
  <w:style w:type="paragraph" w:styleId="NormalWeb">
    <w:name w:val="Normal (Web)"/>
    <w:basedOn w:val="Normal"/>
    <w:uiPriority w:val="99"/>
    <w:unhideWhenUsed/>
    <w:rsid w:val="00E058F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E058FB"/>
    <w:rPr>
      <w:color w:val="0000FF"/>
      <w:u w:val="single"/>
    </w:rPr>
  </w:style>
  <w:style w:type="paragraph" w:styleId="Header">
    <w:name w:val="header"/>
    <w:basedOn w:val="Normal"/>
    <w:link w:val="HeaderChar"/>
    <w:unhideWhenUsed/>
    <w:rsid w:val="00E058FB"/>
    <w:pPr>
      <w:tabs>
        <w:tab w:val="center" w:pos="4680"/>
        <w:tab w:val="right" w:pos="9360"/>
      </w:tabs>
    </w:pPr>
    <w:rPr>
      <w:lang/>
    </w:rPr>
  </w:style>
  <w:style w:type="character" w:customStyle="1" w:styleId="HeaderChar">
    <w:name w:val="Header Char"/>
    <w:basedOn w:val="DefaultParagraphFont"/>
    <w:link w:val="Header"/>
    <w:rsid w:val="00E058FB"/>
    <w:rPr>
      <w:rFonts w:ascii="Calibri" w:eastAsia="Calibri" w:hAnsi="Calibri" w:cs="Times New Roman"/>
      <w:lang/>
    </w:rPr>
  </w:style>
  <w:style w:type="paragraph" w:styleId="Footer">
    <w:name w:val="footer"/>
    <w:basedOn w:val="Normal"/>
    <w:link w:val="FooterChar"/>
    <w:uiPriority w:val="99"/>
    <w:unhideWhenUsed/>
    <w:rsid w:val="00E058FB"/>
    <w:pPr>
      <w:tabs>
        <w:tab w:val="center" w:pos="4680"/>
        <w:tab w:val="right" w:pos="9360"/>
      </w:tabs>
    </w:pPr>
    <w:rPr>
      <w:lang/>
    </w:rPr>
  </w:style>
  <w:style w:type="character" w:customStyle="1" w:styleId="FooterChar">
    <w:name w:val="Footer Char"/>
    <w:basedOn w:val="DefaultParagraphFont"/>
    <w:link w:val="Footer"/>
    <w:uiPriority w:val="99"/>
    <w:rsid w:val="00E058FB"/>
    <w:rPr>
      <w:rFonts w:ascii="Calibri" w:eastAsia="Calibri" w:hAnsi="Calibri" w:cs="Times New Roman"/>
      <w:lang/>
    </w:rPr>
  </w:style>
  <w:style w:type="character" w:styleId="FollowedHyperlink">
    <w:name w:val="FollowedHyperlink"/>
    <w:uiPriority w:val="99"/>
    <w:semiHidden/>
    <w:unhideWhenUsed/>
    <w:rsid w:val="00E058FB"/>
    <w:rPr>
      <w:color w:val="800080"/>
      <w:u w:val="single"/>
    </w:rPr>
  </w:style>
  <w:style w:type="character" w:customStyle="1" w:styleId="apple-converted-space">
    <w:name w:val="apple-converted-space"/>
    <w:basedOn w:val="DefaultParagraphFont"/>
    <w:rsid w:val="00E058FB"/>
  </w:style>
  <w:style w:type="paragraph" w:styleId="BodyText3">
    <w:name w:val="Body Text 3"/>
    <w:basedOn w:val="Normal"/>
    <w:link w:val="BodyText3Char"/>
    <w:uiPriority w:val="99"/>
    <w:semiHidden/>
    <w:unhideWhenUsed/>
    <w:rsid w:val="00E058FB"/>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basedOn w:val="DefaultParagraphFont"/>
    <w:link w:val="BodyText3"/>
    <w:uiPriority w:val="99"/>
    <w:semiHidden/>
    <w:rsid w:val="00E058F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058FB"/>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E058FB"/>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058FB"/>
    <w:pPr>
      <w:spacing w:before="100" w:beforeAutospacing="1" w:after="100" w:afterAutospacing="1" w:line="240" w:lineRule="auto"/>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E058FB"/>
    <w:rPr>
      <w:rFonts w:ascii="Times New Roman" w:eastAsia="Times New Roman" w:hAnsi="Times New Roman" w:cs="Times New Roman"/>
      <w:sz w:val="24"/>
      <w:szCs w:val="24"/>
    </w:rPr>
  </w:style>
  <w:style w:type="character" w:styleId="Emphasis">
    <w:name w:val="Emphasis"/>
    <w:basedOn w:val="DefaultParagraphFont"/>
    <w:uiPriority w:val="20"/>
    <w:qFormat/>
    <w:rsid w:val="00E058FB"/>
    <w:rPr>
      <w:i/>
      <w:iCs/>
    </w:rPr>
  </w:style>
  <w:style w:type="paragraph" w:styleId="PlainText">
    <w:name w:val="Plain Text"/>
    <w:basedOn w:val="Normal"/>
    <w:link w:val="PlainTextChar"/>
    <w:uiPriority w:val="99"/>
    <w:semiHidden/>
    <w:unhideWhenUsed/>
    <w:rsid w:val="00E058FB"/>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E058FB"/>
    <w:rPr>
      <w:rFonts w:ascii="Times New Roman" w:eastAsia="Times New Roman" w:hAnsi="Times New Roman" w:cs="Times New Roman"/>
      <w:sz w:val="24"/>
      <w:szCs w:val="24"/>
    </w:rPr>
  </w:style>
  <w:style w:type="paragraph" w:styleId="ListParagraph">
    <w:name w:val="List Paragraph"/>
    <w:basedOn w:val="Normal"/>
    <w:uiPriority w:val="34"/>
    <w:qFormat/>
    <w:rsid w:val="00E058FB"/>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E058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58FB"/>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E058FB"/>
    <w:pPr>
      <w:spacing w:after="120" w:line="480" w:lineRule="auto"/>
      <w:ind w:left="360"/>
    </w:pPr>
  </w:style>
  <w:style w:type="character" w:customStyle="1" w:styleId="BodyTextIndent2Char">
    <w:name w:val="Body Text Indent 2 Char"/>
    <w:basedOn w:val="DefaultParagraphFont"/>
    <w:link w:val="BodyTextIndent2"/>
    <w:uiPriority w:val="99"/>
    <w:semiHidden/>
    <w:rsid w:val="00E058FB"/>
    <w:rPr>
      <w:rFonts w:ascii="Calibri" w:eastAsia="Calibri" w:hAnsi="Calibri" w:cs="Times New Roman"/>
    </w:rPr>
  </w:style>
  <w:style w:type="paragraph" w:styleId="BodyText2">
    <w:name w:val="Body Text 2"/>
    <w:basedOn w:val="Normal"/>
    <w:link w:val="BodyText2Char"/>
    <w:uiPriority w:val="99"/>
    <w:semiHidden/>
    <w:unhideWhenUsed/>
    <w:rsid w:val="00E058FB"/>
    <w:pPr>
      <w:spacing w:after="120" w:line="480" w:lineRule="auto"/>
    </w:pPr>
  </w:style>
  <w:style w:type="character" w:customStyle="1" w:styleId="BodyText2Char">
    <w:name w:val="Body Text 2 Char"/>
    <w:basedOn w:val="DefaultParagraphFont"/>
    <w:link w:val="BodyText2"/>
    <w:uiPriority w:val="99"/>
    <w:semiHidden/>
    <w:rsid w:val="00E058FB"/>
    <w:rPr>
      <w:rFonts w:ascii="Calibri" w:eastAsia="Calibri" w:hAnsi="Calibri" w:cs="Times New Roman"/>
    </w:rPr>
  </w:style>
  <w:style w:type="paragraph" w:styleId="Title">
    <w:name w:val="Title"/>
    <w:basedOn w:val="Normal"/>
    <w:link w:val="TitleChar"/>
    <w:uiPriority w:val="10"/>
    <w:qFormat/>
    <w:rsid w:val="00E058FB"/>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E058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740907">
      <w:bodyDiv w:val="1"/>
      <w:marLeft w:val="0"/>
      <w:marRight w:val="0"/>
      <w:marTop w:val="0"/>
      <w:marBottom w:val="0"/>
      <w:divBdr>
        <w:top w:val="none" w:sz="0" w:space="0" w:color="auto"/>
        <w:left w:val="none" w:sz="0" w:space="0" w:color="auto"/>
        <w:bottom w:val="none" w:sz="0" w:space="0" w:color="auto"/>
        <w:right w:val="none" w:sz="0" w:space="0" w:color="auto"/>
      </w:divBdr>
      <w:divsChild>
        <w:div w:id="1307516983">
          <w:marLeft w:val="0"/>
          <w:marRight w:val="0"/>
          <w:marTop w:val="0"/>
          <w:marBottom w:val="120"/>
          <w:divBdr>
            <w:top w:val="none" w:sz="0" w:space="0" w:color="auto"/>
            <w:left w:val="none" w:sz="0" w:space="0" w:color="auto"/>
            <w:bottom w:val="none" w:sz="0" w:space="0" w:color="auto"/>
            <w:right w:val="none" w:sz="0" w:space="0" w:color="auto"/>
          </w:divBdr>
        </w:div>
        <w:div w:id="1577590387">
          <w:marLeft w:val="0"/>
          <w:marRight w:val="0"/>
          <w:marTop w:val="0"/>
          <w:marBottom w:val="120"/>
          <w:divBdr>
            <w:top w:val="none" w:sz="0" w:space="0" w:color="auto"/>
            <w:left w:val="none" w:sz="0" w:space="0" w:color="auto"/>
            <w:bottom w:val="none" w:sz="0" w:space="0" w:color="auto"/>
            <w:right w:val="none" w:sz="0" w:space="0" w:color="auto"/>
          </w:divBdr>
        </w:div>
        <w:div w:id="879366425">
          <w:marLeft w:val="0"/>
          <w:marRight w:val="0"/>
          <w:marTop w:val="0"/>
          <w:marBottom w:val="120"/>
          <w:divBdr>
            <w:top w:val="none" w:sz="0" w:space="0" w:color="auto"/>
            <w:left w:val="none" w:sz="0" w:space="0" w:color="auto"/>
            <w:bottom w:val="none" w:sz="0" w:space="0" w:color="auto"/>
            <w:right w:val="none" w:sz="0" w:space="0" w:color="auto"/>
          </w:divBdr>
        </w:div>
        <w:div w:id="131216671">
          <w:marLeft w:val="0"/>
          <w:marRight w:val="0"/>
          <w:marTop w:val="0"/>
          <w:marBottom w:val="120"/>
          <w:divBdr>
            <w:top w:val="none" w:sz="0" w:space="0" w:color="auto"/>
            <w:left w:val="none" w:sz="0" w:space="0" w:color="auto"/>
            <w:bottom w:val="none" w:sz="0" w:space="0" w:color="auto"/>
            <w:right w:val="none" w:sz="0" w:space="0" w:color="auto"/>
          </w:divBdr>
        </w:div>
        <w:div w:id="223293996">
          <w:marLeft w:val="0"/>
          <w:marRight w:val="0"/>
          <w:marTop w:val="0"/>
          <w:marBottom w:val="120"/>
          <w:divBdr>
            <w:top w:val="none" w:sz="0" w:space="0" w:color="auto"/>
            <w:left w:val="none" w:sz="0" w:space="0" w:color="auto"/>
            <w:bottom w:val="none" w:sz="0" w:space="0" w:color="auto"/>
            <w:right w:val="none" w:sz="0" w:space="0" w:color="auto"/>
          </w:divBdr>
        </w:div>
        <w:div w:id="1559124931">
          <w:marLeft w:val="0"/>
          <w:marRight w:val="0"/>
          <w:marTop w:val="0"/>
          <w:marBottom w:val="120"/>
          <w:divBdr>
            <w:top w:val="none" w:sz="0" w:space="0" w:color="auto"/>
            <w:left w:val="none" w:sz="0" w:space="0" w:color="auto"/>
            <w:bottom w:val="none" w:sz="0" w:space="0" w:color="auto"/>
            <w:right w:val="none" w:sz="0" w:space="0" w:color="auto"/>
          </w:divBdr>
        </w:div>
        <w:div w:id="1861044276">
          <w:marLeft w:val="0"/>
          <w:marRight w:val="0"/>
          <w:marTop w:val="0"/>
          <w:marBottom w:val="120"/>
          <w:divBdr>
            <w:top w:val="none" w:sz="0" w:space="0" w:color="auto"/>
            <w:left w:val="none" w:sz="0" w:space="0" w:color="auto"/>
            <w:bottom w:val="none" w:sz="0" w:space="0" w:color="auto"/>
            <w:right w:val="none" w:sz="0" w:space="0" w:color="auto"/>
          </w:divBdr>
        </w:div>
        <w:div w:id="410394345">
          <w:marLeft w:val="0"/>
          <w:marRight w:val="0"/>
          <w:marTop w:val="0"/>
          <w:marBottom w:val="120"/>
          <w:divBdr>
            <w:top w:val="none" w:sz="0" w:space="0" w:color="auto"/>
            <w:left w:val="none" w:sz="0" w:space="0" w:color="auto"/>
            <w:bottom w:val="none" w:sz="0" w:space="0" w:color="auto"/>
            <w:right w:val="none" w:sz="0" w:space="0" w:color="auto"/>
          </w:divBdr>
        </w:div>
        <w:div w:id="1615744617">
          <w:marLeft w:val="0"/>
          <w:marRight w:val="0"/>
          <w:marTop w:val="0"/>
          <w:marBottom w:val="120"/>
          <w:divBdr>
            <w:top w:val="none" w:sz="0" w:space="0" w:color="auto"/>
            <w:left w:val="none" w:sz="0" w:space="0" w:color="auto"/>
            <w:bottom w:val="none" w:sz="0" w:space="0" w:color="auto"/>
            <w:right w:val="none" w:sz="0" w:space="0" w:color="auto"/>
          </w:divBdr>
        </w:div>
        <w:div w:id="944534032">
          <w:marLeft w:val="0"/>
          <w:marRight w:val="0"/>
          <w:marTop w:val="0"/>
          <w:marBottom w:val="120"/>
          <w:divBdr>
            <w:top w:val="none" w:sz="0" w:space="0" w:color="auto"/>
            <w:left w:val="none" w:sz="0" w:space="0" w:color="auto"/>
            <w:bottom w:val="none" w:sz="0" w:space="0" w:color="auto"/>
            <w:right w:val="none" w:sz="0" w:space="0" w:color="auto"/>
          </w:divBdr>
        </w:div>
        <w:div w:id="1858035378">
          <w:marLeft w:val="0"/>
          <w:marRight w:val="0"/>
          <w:marTop w:val="0"/>
          <w:marBottom w:val="120"/>
          <w:divBdr>
            <w:top w:val="none" w:sz="0" w:space="0" w:color="auto"/>
            <w:left w:val="none" w:sz="0" w:space="0" w:color="auto"/>
            <w:bottom w:val="none" w:sz="0" w:space="0" w:color="auto"/>
            <w:right w:val="none" w:sz="0" w:space="0" w:color="auto"/>
          </w:divBdr>
        </w:div>
        <w:div w:id="106777777">
          <w:marLeft w:val="0"/>
          <w:marRight w:val="0"/>
          <w:marTop w:val="0"/>
          <w:marBottom w:val="120"/>
          <w:divBdr>
            <w:top w:val="none" w:sz="0" w:space="0" w:color="auto"/>
            <w:left w:val="none" w:sz="0" w:space="0" w:color="auto"/>
            <w:bottom w:val="none" w:sz="0" w:space="0" w:color="auto"/>
            <w:right w:val="none" w:sz="0" w:space="0" w:color="auto"/>
          </w:divBdr>
        </w:div>
        <w:div w:id="1311862542">
          <w:marLeft w:val="0"/>
          <w:marRight w:val="0"/>
          <w:marTop w:val="0"/>
          <w:marBottom w:val="120"/>
          <w:divBdr>
            <w:top w:val="none" w:sz="0" w:space="0" w:color="auto"/>
            <w:left w:val="none" w:sz="0" w:space="0" w:color="auto"/>
            <w:bottom w:val="none" w:sz="0" w:space="0" w:color="auto"/>
            <w:right w:val="none" w:sz="0" w:space="0" w:color="auto"/>
          </w:divBdr>
        </w:div>
        <w:div w:id="524053488">
          <w:marLeft w:val="0"/>
          <w:marRight w:val="0"/>
          <w:marTop w:val="0"/>
          <w:marBottom w:val="120"/>
          <w:divBdr>
            <w:top w:val="none" w:sz="0" w:space="0" w:color="auto"/>
            <w:left w:val="none" w:sz="0" w:space="0" w:color="auto"/>
            <w:bottom w:val="none" w:sz="0" w:space="0" w:color="auto"/>
            <w:right w:val="none" w:sz="0" w:space="0" w:color="auto"/>
          </w:divBdr>
        </w:div>
        <w:div w:id="57478699">
          <w:marLeft w:val="0"/>
          <w:marRight w:val="0"/>
          <w:marTop w:val="0"/>
          <w:marBottom w:val="120"/>
          <w:divBdr>
            <w:top w:val="none" w:sz="0" w:space="0" w:color="auto"/>
            <w:left w:val="none" w:sz="0" w:space="0" w:color="auto"/>
            <w:bottom w:val="none" w:sz="0" w:space="0" w:color="auto"/>
            <w:right w:val="none" w:sz="0" w:space="0" w:color="auto"/>
          </w:divBdr>
        </w:div>
        <w:div w:id="234435133">
          <w:marLeft w:val="0"/>
          <w:marRight w:val="0"/>
          <w:marTop w:val="0"/>
          <w:marBottom w:val="120"/>
          <w:divBdr>
            <w:top w:val="none" w:sz="0" w:space="0" w:color="auto"/>
            <w:left w:val="none" w:sz="0" w:space="0" w:color="auto"/>
            <w:bottom w:val="none" w:sz="0" w:space="0" w:color="auto"/>
            <w:right w:val="none" w:sz="0" w:space="0" w:color="auto"/>
          </w:divBdr>
        </w:div>
        <w:div w:id="1874002480">
          <w:marLeft w:val="0"/>
          <w:marRight w:val="0"/>
          <w:marTop w:val="0"/>
          <w:marBottom w:val="120"/>
          <w:divBdr>
            <w:top w:val="none" w:sz="0" w:space="0" w:color="auto"/>
            <w:left w:val="none" w:sz="0" w:space="0" w:color="auto"/>
            <w:bottom w:val="none" w:sz="0" w:space="0" w:color="auto"/>
            <w:right w:val="none" w:sz="0" w:space="0" w:color="auto"/>
          </w:divBdr>
        </w:div>
        <w:div w:id="2050566315">
          <w:marLeft w:val="0"/>
          <w:marRight w:val="0"/>
          <w:marTop w:val="0"/>
          <w:marBottom w:val="120"/>
          <w:divBdr>
            <w:top w:val="none" w:sz="0" w:space="0" w:color="auto"/>
            <w:left w:val="none" w:sz="0" w:space="0" w:color="auto"/>
            <w:bottom w:val="none" w:sz="0" w:space="0" w:color="auto"/>
            <w:right w:val="none" w:sz="0" w:space="0" w:color="auto"/>
          </w:divBdr>
        </w:div>
        <w:div w:id="829440400">
          <w:marLeft w:val="0"/>
          <w:marRight w:val="0"/>
          <w:marTop w:val="0"/>
          <w:marBottom w:val="120"/>
          <w:divBdr>
            <w:top w:val="none" w:sz="0" w:space="0" w:color="auto"/>
            <w:left w:val="none" w:sz="0" w:space="0" w:color="auto"/>
            <w:bottom w:val="none" w:sz="0" w:space="0" w:color="auto"/>
            <w:right w:val="none" w:sz="0" w:space="0" w:color="auto"/>
          </w:divBdr>
        </w:div>
        <w:div w:id="1039623543">
          <w:marLeft w:val="0"/>
          <w:marRight w:val="0"/>
          <w:marTop w:val="0"/>
          <w:marBottom w:val="120"/>
          <w:divBdr>
            <w:top w:val="none" w:sz="0" w:space="0" w:color="auto"/>
            <w:left w:val="none" w:sz="0" w:space="0" w:color="auto"/>
            <w:bottom w:val="none" w:sz="0" w:space="0" w:color="auto"/>
            <w:right w:val="none" w:sz="0" w:space="0" w:color="auto"/>
          </w:divBdr>
        </w:div>
        <w:div w:id="427190415">
          <w:marLeft w:val="0"/>
          <w:marRight w:val="0"/>
          <w:marTop w:val="0"/>
          <w:marBottom w:val="120"/>
          <w:divBdr>
            <w:top w:val="none" w:sz="0" w:space="0" w:color="auto"/>
            <w:left w:val="none" w:sz="0" w:space="0" w:color="auto"/>
            <w:bottom w:val="none" w:sz="0" w:space="0" w:color="auto"/>
            <w:right w:val="none" w:sz="0" w:space="0" w:color="auto"/>
          </w:divBdr>
        </w:div>
        <w:div w:id="1276402398">
          <w:marLeft w:val="0"/>
          <w:marRight w:val="0"/>
          <w:marTop w:val="0"/>
          <w:marBottom w:val="120"/>
          <w:divBdr>
            <w:top w:val="none" w:sz="0" w:space="0" w:color="auto"/>
            <w:left w:val="none" w:sz="0" w:space="0" w:color="auto"/>
            <w:bottom w:val="none" w:sz="0" w:space="0" w:color="auto"/>
            <w:right w:val="none" w:sz="0" w:space="0" w:color="auto"/>
          </w:divBdr>
        </w:div>
        <w:div w:id="118379861">
          <w:marLeft w:val="0"/>
          <w:marRight w:val="0"/>
          <w:marTop w:val="0"/>
          <w:marBottom w:val="120"/>
          <w:divBdr>
            <w:top w:val="none" w:sz="0" w:space="0" w:color="auto"/>
            <w:left w:val="none" w:sz="0" w:space="0" w:color="auto"/>
            <w:bottom w:val="none" w:sz="0" w:space="0" w:color="auto"/>
            <w:right w:val="none" w:sz="0" w:space="0" w:color="auto"/>
          </w:divBdr>
        </w:div>
        <w:div w:id="763064828">
          <w:marLeft w:val="0"/>
          <w:marRight w:val="0"/>
          <w:marTop w:val="0"/>
          <w:marBottom w:val="120"/>
          <w:divBdr>
            <w:top w:val="none" w:sz="0" w:space="0" w:color="auto"/>
            <w:left w:val="none" w:sz="0" w:space="0" w:color="auto"/>
            <w:bottom w:val="none" w:sz="0" w:space="0" w:color="auto"/>
            <w:right w:val="none" w:sz="0" w:space="0" w:color="auto"/>
          </w:divBdr>
        </w:div>
        <w:div w:id="2010407940">
          <w:marLeft w:val="0"/>
          <w:marRight w:val="0"/>
          <w:marTop w:val="0"/>
          <w:marBottom w:val="120"/>
          <w:divBdr>
            <w:top w:val="none" w:sz="0" w:space="0" w:color="auto"/>
            <w:left w:val="none" w:sz="0" w:space="0" w:color="auto"/>
            <w:bottom w:val="none" w:sz="0" w:space="0" w:color="auto"/>
            <w:right w:val="none" w:sz="0" w:space="0" w:color="auto"/>
          </w:divBdr>
        </w:div>
        <w:div w:id="457840190">
          <w:marLeft w:val="0"/>
          <w:marRight w:val="0"/>
          <w:marTop w:val="0"/>
          <w:marBottom w:val="120"/>
          <w:divBdr>
            <w:top w:val="none" w:sz="0" w:space="0" w:color="auto"/>
            <w:left w:val="none" w:sz="0" w:space="0" w:color="auto"/>
            <w:bottom w:val="none" w:sz="0" w:space="0" w:color="auto"/>
            <w:right w:val="none" w:sz="0" w:space="0" w:color="auto"/>
          </w:divBdr>
        </w:div>
        <w:div w:id="1408454228">
          <w:marLeft w:val="0"/>
          <w:marRight w:val="0"/>
          <w:marTop w:val="0"/>
          <w:marBottom w:val="120"/>
          <w:divBdr>
            <w:top w:val="none" w:sz="0" w:space="0" w:color="auto"/>
            <w:left w:val="none" w:sz="0" w:space="0" w:color="auto"/>
            <w:bottom w:val="none" w:sz="0" w:space="0" w:color="auto"/>
            <w:right w:val="none" w:sz="0" w:space="0" w:color="auto"/>
          </w:divBdr>
        </w:div>
        <w:div w:id="168378142">
          <w:marLeft w:val="0"/>
          <w:marRight w:val="0"/>
          <w:marTop w:val="0"/>
          <w:marBottom w:val="120"/>
          <w:divBdr>
            <w:top w:val="none" w:sz="0" w:space="0" w:color="auto"/>
            <w:left w:val="none" w:sz="0" w:space="0" w:color="auto"/>
            <w:bottom w:val="none" w:sz="0" w:space="0" w:color="auto"/>
            <w:right w:val="none" w:sz="0" w:space="0" w:color="auto"/>
          </w:divBdr>
        </w:div>
        <w:div w:id="1902131577">
          <w:marLeft w:val="0"/>
          <w:marRight w:val="0"/>
          <w:marTop w:val="0"/>
          <w:marBottom w:val="120"/>
          <w:divBdr>
            <w:top w:val="none" w:sz="0" w:space="0" w:color="auto"/>
            <w:left w:val="none" w:sz="0" w:space="0" w:color="auto"/>
            <w:bottom w:val="none" w:sz="0" w:space="0" w:color="auto"/>
            <w:right w:val="none" w:sz="0" w:space="0" w:color="auto"/>
          </w:divBdr>
        </w:div>
        <w:div w:id="2004582271">
          <w:marLeft w:val="0"/>
          <w:marRight w:val="0"/>
          <w:marTop w:val="0"/>
          <w:marBottom w:val="120"/>
          <w:divBdr>
            <w:top w:val="none" w:sz="0" w:space="0" w:color="auto"/>
            <w:left w:val="none" w:sz="0" w:space="0" w:color="auto"/>
            <w:bottom w:val="none" w:sz="0" w:space="0" w:color="auto"/>
            <w:right w:val="none" w:sz="0" w:space="0" w:color="auto"/>
          </w:divBdr>
        </w:div>
        <w:div w:id="1724257102">
          <w:marLeft w:val="0"/>
          <w:marRight w:val="0"/>
          <w:marTop w:val="0"/>
          <w:marBottom w:val="120"/>
          <w:divBdr>
            <w:top w:val="none" w:sz="0" w:space="0" w:color="auto"/>
            <w:left w:val="none" w:sz="0" w:space="0" w:color="auto"/>
            <w:bottom w:val="none" w:sz="0" w:space="0" w:color="auto"/>
            <w:right w:val="none" w:sz="0" w:space="0" w:color="auto"/>
          </w:divBdr>
        </w:div>
        <w:div w:id="881483147">
          <w:marLeft w:val="0"/>
          <w:marRight w:val="0"/>
          <w:marTop w:val="0"/>
          <w:marBottom w:val="120"/>
          <w:divBdr>
            <w:top w:val="none" w:sz="0" w:space="0" w:color="auto"/>
            <w:left w:val="none" w:sz="0" w:space="0" w:color="auto"/>
            <w:bottom w:val="none" w:sz="0" w:space="0" w:color="auto"/>
            <w:right w:val="none" w:sz="0" w:space="0" w:color="auto"/>
          </w:divBdr>
        </w:div>
        <w:div w:id="973632036">
          <w:marLeft w:val="0"/>
          <w:marRight w:val="0"/>
          <w:marTop w:val="0"/>
          <w:marBottom w:val="120"/>
          <w:divBdr>
            <w:top w:val="none" w:sz="0" w:space="0" w:color="auto"/>
            <w:left w:val="none" w:sz="0" w:space="0" w:color="auto"/>
            <w:bottom w:val="none" w:sz="0" w:space="0" w:color="auto"/>
            <w:right w:val="none" w:sz="0" w:space="0" w:color="auto"/>
          </w:divBdr>
        </w:div>
        <w:div w:id="1968119042">
          <w:marLeft w:val="0"/>
          <w:marRight w:val="0"/>
          <w:marTop w:val="0"/>
          <w:marBottom w:val="120"/>
          <w:divBdr>
            <w:top w:val="none" w:sz="0" w:space="0" w:color="auto"/>
            <w:left w:val="none" w:sz="0" w:space="0" w:color="auto"/>
            <w:bottom w:val="none" w:sz="0" w:space="0" w:color="auto"/>
            <w:right w:val="none" w:sz="0" w:space="0" w:color="auto"/>
          </w:divBdr>
        </w:div>
        <w:div w:id="1916863744">
          <w:marLeft w:val="0"/>
          <w:marRight w:val="0"/>
          <w:marTop w:val="0"/>
          <w:marBottom w:val="120"/>
          <w:divBdr>
            <w:top w:val="none" w:sz="0" w:space="0" w:color="auto"/>
            <w:left w:val="none" w:sz="0" w:space="0" w:color="auto"/>
            <w:bottom w:val="none" w:sz="0" w:space="0" w:color="auto"/>
            <w:right w:val="none" w:sz="0" w:space="0" w:color="auto"/>
          </w:divBdr>
        </w:div>
        <w:div w:id="1621034118">
          <w:marLeft w:val="0"/>
          <w:marRight w:val="0"/>
          <w:marTop w:val="0"/>
          <w:marBottom w:val="120"/>
          <w:divBdr>
            <w:top w:val="none" w:sz="0" w:space="0" w:color="auto"/>
            <w:left w:val="none" w:sz="0" w:space="0" w:color="auto"/>
            <w:bottom w:val="none" w:sz="0" w:space="0" w:color="auto"/>
            <w:right w:val="none" w:sz="0" w:space="0" w:color="auto"/>
          </w:divBdr>
        </w:div>
        <w:div w:id="251089160">
          <w:marLeft w:val="0"/>
          <w:marRight w:val="0"/>
          <w:marTop w:val="0"/>
          <w:marBottom w:val="120"/>
          <w:divBdr>
            <w:top w:val="none" w:sz="0" w:space="0" w:color="auto"/>
            <w:left w:val="none" w:sz="0" w:space="0" w:color="auto"/>
            <w:bottom w:val="none" w:sz="0" w:space="0" w:color="auto"/>
            <w:right w:val="none" w:sz="0" w:space="0" w:color="auto"/>
          </w:divBdr>
        </w:div>
        <w:div w:id="1299914687">
          <w:marLeft w:val="0"/>
          <w:marRight w:val="0"/>
          <w:marTop w:val="0"/>
          <w:marBottom w:val="120"/>
          <w:divBdr>
            <w:top w:val="none" w:sz="0" w:space="0" w:color="auto"/>
            <w:left w:val="none" w:sz="0" w:space="0" w:color="auto"/>
            <w:bottom w:val="none" w:sz="0" w:space="0" w:color="auto"/>
            <w:right w:val="none" w:sz="0" w:space="0" w:color="auto"/>
          </w:divBdr>
        </w:div>
        <w:div w:id="45687475">
          <w:marLeft w:val="0"/>
          <w:marRight w:val="0"/>
          <w:marTop w:val="0"/>
          <w:marBottom w:val="120"/>
          <w:divBdr>
            <w:top w:val="none" w:sz="0" w:space="0" w:color="auto"/>
            <w:left w:val="none" w:sz="0" w:space="0" w:color="auto"/>
            <w:bottom w:val="none" w:sz="0" w:space="0" w:color="auto"/>
            <w:right w:val="none" w:sz="0" w:space="0" w:color="auto"/>
          </w:divBdr>
        </w:div>
        <w:div w:id="997881270">
          <w:marLeft w:val="0"/>
          <w:marRight w:val="0"/>
          <w:marTop w:val="0"/>
          <w:marBottom w:val="120"/>
          <w:divBdr>
            <w:top w:val="none" w:sz="0" w:space="0" w:color="auto"/>
            <w:left w:val="none" w:sz="0" w:space="0" w:color="auto"/>
            <w:bottom w:val="none" w:sz="0" w:space="0" w:color="auto"/>
            <w:right w:val="none" w:sz="0" w:space="0" w:color="auto"/>
          </w:divBdr>
        </w:div>
        <w:div w:id="1758673566">
          <w:marLeft w:val="0"/>
          <w:marRight w:val="0"/>
          <w:marTop w:val="0"/>
          <w:marBottom w:val="120"/>
          <w:divBdr>
            <w:top w:val="none" w:sz="0" w:space="0" w:color="auto"/>
            <w:left w:val="none" w:sz="0" w:space="0" w:color="auto"/>
            <w:bottom w:val="none" w:sz="0" w:space="0" w:color="auto"/>
            <w:right w:val="none" w:sz="0" w:space="0" w:color="auto"/>
          </w:divBdr>
        </w:div>
        <w:div w:id="1408843447">
          <w:marLeft w:val="0"/>
          <w:marRight w:val="0"/>
          <w:marTop w:val="0"/>
          <w:marBottom w:val="120"/>
          <w:divBdr>
            <w:top w:val="none" w:sz="0" w:space="0" w:color="auto"/>
            <w:left w:val="none" w:sz="0" w:space="0" w:color="auto"/>
            <w:bottom w:val="none" w:sz="0" w:space="0" w:color="auto"/>
            <w:right w:val="none" w:sz="0" w:space="0" w:color="auto"/>
          </w:divBdr>
        </w:div>
        <w:div w:id="194345996">
          <w:marLeft w:val="0"/>
          <w:marRight w:val="0"/>
          <w:marTop w:val="0"/>
          <w:marBottom w:val="120"/>
          <w:divBdr>
            <w:top w:val="none" w:sz="0" w:space="0" w:color="auto"/>
            <w:left w:val="none" w:sz="0" w:space="0" w:color="auto"/>
            <w:bottom w:val="none" w:sz="0" w:space="0" w:color="auto"/>
            <w:right w:val="none" w:sz="0" w:space="0" w:color="auto"/>
          </w:divBdr>
        </w:div>
        <w:div w:id="197819273">
          <w:marLeft w:val="0"/>
          <w:marRight w:val="0"/>
          <w:marTop w:val="0"/>
          <w:marBottom w:val="120"/>
          <w:divBdr>
            <w:top w:val="none" w:sz="0" w:space="0" w:color="auto"/>
            <w:left w:val="none" w:sz="0" w:space="0" w:color="auto"/>
            <w:bottom w:val="none" w:sz="0" w:space="0" w:color="auto"/>
            <w:right w:val="none" w:sz="0" w:space="0" w:color="auto"/>
          </w:divBdr>
        </w:div>
        <w:div w:id="1718503062">
          <w:marLeft w:val="0"/>
          <w:marRight w:val="0"/>
          <w:marTop w:val="0"/>
          <w:marBottom w:val="120"/>
          <w:divBdr>
            <w:top w:val="none" w:sz="0" w:space="0" w:color="auto"/>
            <w:left w:val="none" w:sz="0" w:space="0" w:color="auto"/>
            <w:bottom w:val="none" w:sz="0" w:space="0" w:color="auto"/>
            <w:right w:val="none" w:sz="0" w:space="0" w:color="auto"/>
          </w:divBdr>
        </w:div>
        <w:div w:id="301811306">
          <w:marLeft w:val="0"/>
          <w:marRight w:val="0"/>
          <w:marTop w:val="0"/>
          <w:marBottom w:val="120"/>
          <w:divBdr>
            <w:top w:val="none" w:sz="0" w:space="0" w:color="auto"/>
            <w:left w:val="none" w:sz="0" w:space="0" w:color="auto"/>
            <w:bottom w:val="none" w:sz="0" w:space="0" w:color="auto"/>
            <w:right w:val="none" w:sz="0" w:space="0" w:color="auto"/>
          </w:divBdr>
        </w:div>
        <w:div w:id="1860465058">
          <w:marLeft w:val="0"/>
          <w:marRight w:val="0"/>
          <w:marTop w:val="0"/>
          <w:marBottom w:val="120"/>
          <w:divBdr>
            <w:top w:val="none" w:sz="0" w:space="0" w:color="auto"/>
            <w:left w:val="none" w:sz="0" w:space="0" w:color="auto"/>
            <w:bottom w:val="none" w:sz="0" w:space="0" w:color="auto"/>
            <w:right w:val="none" w:sz="0" w:space="0" w:color="auto"/>
          </w:divBdr>
        </w:div>
        <w:div w:id="224997277">
          <w:marLeft w:val="0"/>
          <w:marRight w:val="0"/>
          <w:marTop w:val="0"/>
          <w:marBottom w:val="120"/>
          <w:divBdr>
            <w:top w:val="none" w:sz="0" w:space="0" w:color="auto"/>
            <w:left w:val="none" w:sz="0" w:space="0" w:color="auto"/>
            <w:bottom w:val="none" w:sz="0" w:space="0" w:color="auto"/>
            <w:right w:val="none" w:sz="0" w:space="0" w:color="auto"/>
          </w:divBdr>
        </w:div>
        <w:div w:id="682246870">
          <w:marLeft w:val="0"/>
          <w:marRight w:val="0"/>
          <w:marTop w:val="0"/>
          <w:marBottom w:val="120"/>
          <w:divBdr>
            <w:top w:val="none" w:sz="0" w:space="0" w:color="auto"/>
            <w:left w:val="none" w:sz="0" w:space="0" w:color="auto"/>
            <w:bottom w:val="none" w:sz="0" w:space="0" w:color="auto"/>
            <w:right w:val="none" w:sz="0" w:space="0" w:color="auto"/>
          </w:divBdr>
        </w:div>
        <w:div w:id="774440924">
          <w:marLeft w:val="0"/>
          <w:marRight w:val="0"/>
          <w:marTop w:val="0"/>
          <w:marBottom w:val="120"/>
          <w:divBdr>
            <w:top w:val="none" w:sz="0" w:space="0" w:color="auto"/>
            <w:left w:val="none" w:sz="0" w:space="0" w:color="auto"/>
            <w:bottom w:val="none" w:sz="0" w:space="0" w:color="auto"/>
            <w:right w:val="none" w:sz="0" w:space="0" w:color="auto"/>
          </w:divBdr>
        </w:div>
        <w:div w:id="473719458">
          <w:marLeft w:val="0"/>
          <w:marRight w:val="0"/>
          <w:marTop w:val="0"/>
          <w:marBottom w:val="120"/>
          <w:divBdr>
            <w:top w:val="none" w:sz="0" w:space="0" w:color="auto"/>
            <w:left w:val="none" w:sz="0" w:space="0" w:color="auto"/>
            <w:bottom w:val="none" w:sz="0" w:space="0" w:color="auto"/>
            <w:right w:val="none" w:sz="0" w:space="0" w:color="auto"/>
          </w:divBdr>
        </w:div>
        <w:div w:id="230965372">
          <w:marLeft w:val="0"/>
          <w:marRight w:val="0"/>
          <w:marTop w:val="0"/>
          <w:marBottom w:val="120"/>
          <w:divBdr>
            <w:top w:val="none" w:sz="0" w:space="0" w:color="auto"/>
            <w:left w:val="none" w:sz="0" w:space="0" w:color="auto"/>
            <w:bottom w:val="none" w:sz="0" w:space="0" w:color="auto"/>
            <w:right w:val="none" w:sz="0" w:space="0" w:color="auto"/>
          </w:divBdr>
        </w:div>
        <w:div w:id="1826555792">
          <w:marLeft w:val="0"/>
          <w:marRight w:val="0"/>
          <w:marTop w:val="0"/>
          <w:marBottom w:val="120"/>
          <w:divBdr>
            <w:top w:val="none" w:sz="0" w:space="0" w:color="auto"/>
            <w:left w:val="none" w:sz="0" w:space="0" w:color="auto"/>
            <w:bottom w:val="none" w:sz="0" w:space="0" w:color="auto"/>
            <w:right w:val="none" w:sz="0" w:space="0" w:color="auto"/>
          </w:divBdr>
        </w:div>
        <w:div w:id="839584471">
          <w:marLeft w:val="0"/>
          <w:marRight w:val="0"/>
          <w:marTop w:val="0"/>
          <w:marBottom w:val="120"/>
          <w:divBdr>
            <w:top w:val="none" w:sz="0" w:space="0" w:color="auto"/>
            <w:left w:val="none" w:sz="0" w:space="0" w:color="auto"/>
            <w:bottom w:val="none" w:sz="0" w:space="0" w:color="auto"/>
            <w:right w:val="none" w:sz="0" w:space="0" w:color="auto"/>
          </w:divBdr>
        </w:div>
        <w:div w:id="1838417503">
          <w:marLeft w:val="0"/>
          <w:marRight w:val="0"/>
          <w:marTop w:val="0"/>
          <w:marBottom w:val="120"/>
          <w:divBdr>
            <w:top w:val="none" w:sz="0" w:space="0" w:color="auto"/>
            <w:left w:val="none" w:sz="0" w:space="0" w:color="auto"/>
            <w:bottom w:val="none" w:sz="0" w:space="0" w:color="auto"/>
            <w:right w:val="none" w:sz="0" w:space="0" w:color="auto"/>
          </w:divBdr>
        </w:div>
        <w:div w:id="1854105798">
          <w:marLeft w:val="0"/>
          <w:marRight w:val="0"/>
          <w:marTop w:val="0"/>
          <w:marBottom w:val="120"/>
          <w:divBdr>
            <w:top w:val="none" w:sz="0" w:space="0" w:color="auto"/>
            <w:left w:val="none" w:sz="0" w:space="0" w:color="auto"/>
            <w:bottom w:val="none" w:sz="0" w:space="0" w:color="auto"/>
            <w:right w:val="none" w:sz="0" w:space="0" w:color="auto"/>
          </w:divBdr>
        </w:div>
        <w:div w:id="750540980">
          <w:marLeft w:val="0"/>
          <w:marRight w:val="0"/>
          <w:marTop w:val="0"/>
          <w:marBottom w:val="120"/>
          <w:divBdr>
            <w:top w:val="none" w:sz="0" w:space="0" w:color="auto"/>
            <w:left w:val="none" w:sz="0" w:space="0" w:color="auto"/>
            <w:bottom w:val="none" w:sz="0" w:space="0" w:color="auto"/>
            <w:right w:val="none" w:sz="0" w:space="0" w:color="auto"/>
          </w:divBdr>
        </w:div>
        <w:div w:id="45108817">
          <w:marLeft w:val="0"/>
          <w:marRight w:val="0"/>
          <w:marTop w:val="0"/>
          <w:marBottom w:val="120"/>
          <w:divBdr>
            <w:top w:val="none" w:sz="0" w:space="0" w:color="auto"/>
            <w:left w:val="none" w:sz="0" w:space="0" w:color="auto"/>
            <w:bottom w:val="none" w:sz="0" w:space="0" w:color="auto"/>
            <w:right w:val="none" w:sz="0" w:space="0" w:color="auto"/>
          </w:divBdr>
        </w:div>
        <w:div w:id="3651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1553</Words>
  <Characters>8853</Characters>
  <Application>Microsoft Office Word</Application>
  <DocSecurity>0</DocSecurity>
  <Lines>73</Lines>
  <Paragraphs>20</Paragraphs>
  <ScaleCrop>false</ScaleCrop>
  <Company>Grizli777</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2015-03-24T13:30:00Z</dcterms:created>
  <dcterms:modified xsi:type="dcterms:W3CDTF">2015-03-24T14:16:00Z</dcterms:modified>
</cp:coreProperties>
</file>