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4238"/>
        <w:gridCol w:w="1288"/>
        <w:gridCol w:w="5077"/>
      </w:tblGrid>
      <w:tr w:rsidR="000710AC" w:rsidRPr="001B1A3D" w:rsidTr="000710AC">
        <w:trPr>
          <w:tblCellSpacing w:w="15" w:type="dxa"/>
        </w:trPr>
        <w:tc>
          <w:tcPr>
            <w:tcW w:w="2000" w:type="pct"/>
            <w:shd w:val="clear" w:color="auto" w:fill="F9FAFC"/>
            <w:hideMark/>
          </w:tcPr>
          <w:p w:rsidR="000710AC" w:rsidRPr="001B1A3D" w:rsidRDefault="000710AC" w:rsidP="001B1A3D">
            <w:pPr>
              <w:spacing w:line="360" w:lineRule="auto"/>
              <w:jc w:val="center"/>
              <w:rPr>
                <w:color w:val="222222"/>
              </w:rPr>
            </w:pPr>
            <w:r w:rsidRPr="001B1A3D">
              <w:rPr>
                <w:b/>
                <w:bCs/>
                <w:color w:val="222222"/>
              </w:rPr>
              <w:t>CHÍNH PHỦ</w:t>
            </w:r>
          </w:p>
          <w:p w:rsidR="000710AC" w:rsidRPr="001B1A3D" w:rsidRDefault="000710AC" w:rsidP="001B1A3D">
            <w:pPr>
              <w:spacing w:line="360" w:lineRule="auto"/>
              <w:jc w:val="center"/>
              <w:rPr>
                <w:color w:val="222222"/>
              </w:rPr>
            </w:pPr>
            <w:r w:rsidRPr="001B1A3D">
              <w:rPr>
                <w:color w:val="222222"/>
              </w:rPr>
              <w:t>Số: 19/2013/NĐ-CP</w:t>
            </w:r>
          </w:p>
        </w:tc>
        <w:tc>
          <w:tcPr>
            <w:tcW w:w="600" w:type="pct"/>
            <w:shd w:val="clear" w:color="auto" w:fill="F9FAFC"/>
            <w:vAlign w:val="center"/>
            <w:hideMark/>
          </w:tcPr>
          <w:p w:rsidR="000710AC" w:rsidRPr="001B1A3D" w:rsidRDefault="000710AC" w:rsidP="001B1A3D">
            <w:pPr>
              <w:spacing w:line="360" w:lineRule="auto"/>
              <w:rPr>
                <w:color w:val="222222"/>
              </w:rPr>
            </w:pPr>
          </w:p>
        </w:tc>
        <w:tc>
          <w:tcPr>
            <w:tcW w:w="2400" w:type="pct"/>
            <w:shd w:val="clear" w:color="auto" w:fill="F9FAFC"/>
            <w:hideMark/>
          </w:tcPr>
          <w:p w:rsidR="000710AC" w:rsidRPr="001B1A3D" w:rsidRDefault="000710AC" w:rsidP="001B1A3D">
            <w:pPr>
              <w:spacing w:line="360" w:lineRule="auto"/>
              <w:jc w:val="center"/>
              <w:rPr>
                <w:color w:val="222222"/>
              </w:rPr>
            </w:pPr>
            <w:r w:rsidRPr="001B1A3D">
              <w:rPr>
                <w:b/>
                <w:bCs/>
                <w:color w:val="222222"/>
              </w:rPr>
              <w:t>CỘNG HOÀ XÃ HỘI CHỦ NGHĨA VIỆT NAM</w:t>
            </w:r>
          </w:p>
          <w:p w:rsidR="000710AC" w:rsidRPr="001B1A3D" w:rsidRDefault="000710AC" w:rsidP="001B1A3D">
            <w:pPr>
              <w:spacing w:line="360" w:lineRule="auto"/>
              <w:jc w:val="center"/>
              <w:rPr>
                <w:color w:val="222222"/>
              </w:rPr>
            </w:pPr>
            <w:r w:rsidRPr="001B1A3D">
              <w:rPr>
                <w:b/>
                <w:bCs/>
                <w:color w:val="222222"/>
              </w:rPr>
              <w:t>Độc lập - Tự do - Hạnh phúc</w:t>
            </w:r>
          </w:p>
          <w:p w:rsidR="000710AC" w:rsidRPr="001B1A3D" w:rsidRDefault="000710AC" w:rsidP="001B1A3D">
            <w:pPr>
              <w:spacing w:line="360" w:lineRule="auto"/>
              <w:jc w:val="right"/>
              <w:rPr>
                <w:color w:val="222222"/>
              </w:rPr>
            </w:pPr>
            <w:r w:rsidRPr="001B1A3D">
              <w:rPr>
                <w:i/>
                <w:iCs/>
                <w:color w:val="222222"/>
              </w:rPr>
              <w:t>Hà Nội, ngày 23 tháng 02 năm 2013</w:t>
            </w:r>
            <w:r w:rsidRPr="001B1A3D">
              <w:rPr>
                <w:color w:val="222222"/>
              </w:rPr>
              <w:t>                          </w:t>
            </w:r>
          </w:p>
        </w:tc>
      </w:tr>
      <w:tr w:rsidR="000710AC" w:rsidRPr="001B1A3D" w:rsidTr="000710AC">
        <w:trPr>
          <w:tblCellSpacing w:w="15" w:type="dxa"/>
        </w:trPr>
        <w:tc>
          <w:tcPr>
            <w:tcW w:w="0" w:type="auto"/>
            <w:gridSpan w:val="3"/>
            <w:shd w:val="clear" w:color="auto" w:fill="F9FAFC"/>
            <w:vAlign w:val="center"/>
            <w:hideMark/>
          </w:tcPr>
          <w:p w:rsidR="000710AC" w:rsidRPr="001B1A3D" w:rsidRDefault="000710AC" w:rsidP="001B1A3D">
            <w:pPr>
              <w:spacing w:line="360" w:lineRule="auto"/>
              <w:rPr>
                <w:color w:val="222222"/>
              </w:rPr>
            </w:pPr>
          </w:p>
        </w:tc>
      </w:tr>
      <w:tr w:rsidR="000710AC" w:rsidRPr="001B1A3D" w:rsidTr="000710AC">
        <w:trPr>
          <w:tblCellSpacing w:w="15" w:type="dxa"/>
        </w:trPr>
        <w:tc>
          <w:tcPr>
            <w:tcW w:w="0" w:type="auto"/>
            <w:gridSpan w:val="3"/>
            <w:shd w:val="clear" w:color="auto" w:fill="F9FAFC"/>
            <w:vAlign w:val="center"/>
            <w:hideMark/>
          </w:tcPr>
          <w:p w:rsidR="000710AC" w:rsidRPr="001B1A3D" w:rsidRDefault="000710AC" w:rsidP="001B1A3D">
            <w:pPr>
              <w:spacing w:before="120" w:after="120" w:line="360" w:lineRule="auto"/>
              <w:jc w:val="center"/>
              <w:rPr>
                <w:color w:val="222222"/>
              </w:rPr>
            </w:pPr>
            <w:r w:rsidRPr="001B1A3D">
              <w:rPr>
                <w:b/>
                <w:bCs/>
                <w:color w:val="222222"/>
              </w:rPr>
              <w:t>N</w:t>
            </w:r>
            <w:bookmarkStart w:id="0" w:name="_GoBack"/>
            <w:bookmarkEnd w:id="0"/>
            <w:r w:rsidRPr="001B1A3D">
              <w:rPr>
                <w:b/>
                <w:bCs/>
                <w:color w:val="222222"/>
              </w:rPr>
              <w:t>GHỊ ĐỊNH</w:t>
            </w:r>
          </w:p>
          <w:p w:rsidR="000710AC" w:rsidRPr="001B1A3D" w:rsidRDefault="000710AC" w:rsidP="001B1A3D">
            <w:pPr>
              <w:spacing w:line="360" w:lineRule="auto"/>
              <w:jc w:val="center"/>
              <w:rPr>
                <w:color w:val="222222"/>
              </w:rPr>
            </w:pPr>
            <w:r w:rsidRPr="001B1A3D">
              <w:rPr>
                <w:b/>
                <w:bCs/>
                <w:color w:val="222222"/>
              </w:rPr>
              <w:t>Sửa đổi, bổ sung một số điều của Nghị định số 61/2006/NĐ-CP ngày 20 tháng 6 năm 2006</w:t>
            </w:r>
          </w:p>
          <w:p w:rsidR="000710AC" w:rsidRPr="001B1A3D" w:rsidRDefault="000710AC" w:rsidP="001B1A3D">
            <w:pPr>
              <w:spacing w:line="360" w:lineRule="auto"/>
              <w:jc w:val="center"/>
              <w:rPr>
                <w:color w:val="222222"/>
              </w:rPr>
            </w:pPr>
            <w:r w:rsidRPr="001B1A3D">
              <w:rPr>
                <w:b/>
                <w:bCs/>
                <w:color w:val="222222"/>
              </w:rPr>
              <w:t>của Chính phủ về chính sách đối với nhà giáo, cán bộ quản lý giáo dục công tác ở trường</w:t>
            </w:r>
          </w:p>
          <w:p w:rsidR="000710AC" w:rsidRPr="001B1A3D" w:rsidRDefault="000710AC" w:rsidP="001B1A3D">
            <w:pPr>
              <w:spacing w:line="360" w:lineRule="auto"/>
              <w:jc w:val="center"/>
              <w:rPr>
                <w:color w:val="222222"/>
              </w:rPr>
            </w:pPr>
            <w:r w:rsidRPr="001B1A3D">
              <w:rPr>
                <w:b/>
                <w:bCs/>
                <w:color w:val="222222"/>
              </w:rPr>
              <w:t> chuyên biệt, ở vùng có điều kiện kinh tế - xã hội đặc biệt khó khăn</w:t>
            </w:r>
          </w:p>
          <w:p w:rsidR="000710AC" w:rsidRPr="001B1A3D" w:rsidRDefault="000710AC" w:rsidP="001B1A3D">
            <w:pPr>
              <w:spacing w:line="360" w:lineRule="auto"/>
              <w:jc w:val="center"/>
              <w:rPr>
                <w:color w:val="222222"/>
              </w:rPr>
            </w:pPr>
            <w:r w:rsidRPr="001B1A3D">
              <w:rPr>
                <w:color w:val="222222"/>
              </w:rPr>
              <w:t>_____________________________</w:t>
            </w:r>
          </w:p>
          <w:p w:rsidR="000710AC" w:rsidRPr="001B1A3D" w:rsidRDefault="000710AC" w:rsidP="001B1A3D">
            <w:pPr>
              <w:spacing w:line="360" w:lineRule="auto"/>
              <w:rPr>
                <w:color w:val="222222"/>
              </w:rPr>
            </w:pPr>
            <w:r w:rsidRPr="001B1A3D">
              <w:rPr>
                <w:b/>
                <w:bCs/>
                <w:color w:val="222222"/>
              </w:rPr>
              <w:t> </w:t>
            </w:r>
          </w:p>
          <w:p w:rsidR="000710AC" w:rsidRPr="001B1A3D" w:rsidRDefault="000710AC" w:rsidP="001B1A3D">
            <w:pPr>
              <w:spacing w:before="120" w:after="120" w:line="360" w:lineRule="auto"/>
              <w:jc w:val="both"/>
              <w:rPr>
                <w:color w:val="222222"/>
              </w:rPr>
            </w:pPr>
            <w:r w:rsidRPr="001B1A3D">
              <w:rPr>
                <w:i/>
                <w:iCs/>
                <w:color w:val="222222"/>
              </w:rPr>
              <w:t>Căn cứ Luật Tổ chức Chính phủ ngày 25 tháng 12 năm 2001;</w:t>
            </w:r>
          </w:p>
          <w:p w:rsidR="000710AC" w:rsidRPr="001B1A3D" w:rsidRDefault="000710AC" w:rsidP="001B1A3D">
            <w:pPr>
              <w:spacing w:before="120" w:after="120" w:line="360" w:lineRule="auto"/>
              <w:jc w:val="both"/>
              <w:rPr>
                <w:color w:val="222222"/>
              </w:rPr>
            </w:pPr>
            <w:r w:rsidRPr="001B1A3D">
              <w:rPr>
                <w:i/>
                <w:iCs/>
                <w:color w:val="222222"/>
              </w:rPr>
              <w:t>Căn cứ Luật Giáo dục năm 2005; Luật Sửa đổi bổ sung một số điều của Luật Giáo dục năm 2009;</w:t>
            </w:r>
          </w:p>
          <w:p w:rsidR="000710AC" w:rsidRPr="001B1A3D" w:rsidRDefault="000710AC" w:rsidP="001B1A3D">
            <w:pPr>
              <w:spacing w:before="120" w:after="120" w:line="360" w:lineRule="auto"/>
              <w:jc w:val="both"/>
              <w:rPr>
                <w:color w:val="222222"/>
              </w:rPr>
            </w:pPr>
            <w:r w:rsidRPr="001B1A3D">
              <w:rPr>
                <w:i/>
                <w:iCs/>
                <w:color w:val="222222"/>
              </w:rPr>
              <w:t>Theo đề nghị của Bộ trưởng Bộ Giáo dục và Đào tạo;</w:t>
            </w:r>
          </w:p>
          <w:p w:rsidR="000710AC" w:rsidRPr="001B1A3D" w:rsidRDefault="000710AC" w:rsidP="001B1A3D">
            <w:pPr>
              <w:spacing w:before="120" w:after="120" w:line="360" w:lineRule="auto"/>
              <w:jc w:val="both"/>
              <w:rPr>
                <w:color w:val="222222"/>
              </w:rPr>
            </w:pPr>
            <w:r w:rsidRPr="001B1A3D">
              <w:rPr>
                <w:i/>
                <w:iCs/>
                <w:color w:val="222222"/>
              </w:rPr>
              <w:t>Chính phủ ban hành Nghị định sửa đổi, bổ sung một số điều của Nghị định số 61/2006/NĐ-CP ngày 20 tháng 6 năm 2006 của Chính phủ về chính sách đối với nhà giáo, cán bộ quản lý giáo dục công tác ở trường chuyên biệt, ở vùng có điều kiện kinh tế - xã hội đặc biệt khó khăn,</w:t>
            </w:r>
          </w:p>
          <w:p w:rsidR="000710AC" w:rsidRPr="001B1A3D" w:rsidRDefault="000710AC" w:rsidP="001B1A3D">
            <w:pPr>
              <w:spacing w:before="120" w:after="120" w:line="360" w:lineRule="auto"/>
              <w:jc w:val="both"/>
              <w:rPr>
                <w:color w:val="222222"/>
              </w:rPr>
            </w:pPr>
            <w:r w:rsidRPr="001B1A3D">
              <w:rPr>
                <w:b/>
                <w:bCs/>
                <w:color w:val="222222"/>
              </w:rPr>
              <w:t>Điều </w:t>
            </w:r>
            <w:bookmarkStart w:id="1" w:name="Dieu_1"/>
            <w:bookmarkEnd w:id="1"/>
            <w:r w:rsidRPr="001B1A3D">
              <w:rPr>
                <w:b/>
                <w:bCs/>
                <w:color w:val="222222"/>
              </w:rPr>
              <w:t>1.</w:t>
            </w:r>
            <w:r w:rsidRPr="001B1A3D">
              <w:rPr>
                <w:color w:val="222222"/>
              </w:rPr>
              <w:t> Sửa đổi, bổ sung một số điều của Nghị định số 61/2006/NĐ-CP ngày 20 tháng 6 năm 2006 của Chính phủ về chính sách đối với nhà giáo, cán bộ quản lý giáo dục công tác ở trường chuyên biệt, ở vùng có điều kiện kinh tế - xã hội đặc biệt khó khăn (sau đây gọi chung là Nghị định 61/2006/NĐ-CP):</w:t>
            </w:r>
          </w:p>
          <w:p w:rsidR="000710AC" w:rsidRPr="001B1A3D" w:rsidRDefault="000710AC" w:rsidP="001B1A3D">
            <w:pPr>
              <w:spacing w:before="120" w:after="120" w:line="360" w:lineRule="auto"/>
              <w:jc w:val="both"/>
              <w:rPr>
                <w:color w:val="222222"/>
              </w:rPr>
            </w:pPr>
            <w:r w:rsidRPr="001B1A3D">
              <w:rPr>
                <w:b/>
                <w:bCs/>
                <w:color w:val="222222"/>
              </w:rPr>
              <w:t>1. Sửa đổi, bổ sung Khoản 2 và bổ sung Khoản 3 Điều 2 như sau:</w:t>
            </w:r>
          </w:p>
          <w:p w:rsidR="000710AC" w:rsidRPr="001B1A3D" w:rsidRDefault="000710AC" w:rsidP="001B1A3D">
            <w:pPr>
              <w:spacing w:before="120" w:after="120" w:line="360" w:lineRule="auto"/>
              <w:jc w:val="both"/>
              <w:rPr>
                <w:color w:val="222222"/>
              </w:rPr>
            </w:pPr>
            <w:r w:rsidRPr="001B1A3D">
              <w:rPr>
                <w:b/>
                <w:bCs/>
                <w:color w:val="222222"/>
              </w:rPr>
              <w:t>“Điều 2. Đối tượng áp dụng</w:t>
            </w:r>
          </w:p>
          <w:p w:rsidR="000710AC" w:rsidRPr="001B1A3D" w:rsidRDefault="000710AC" w:rsidP="001B1A3D">
            <w:pPr>
              <w:spacing w:before="120" w:after="120" w:line="360" w:lineRule="auto"/>
              <w:jc w:val="both"/>
              <w:rPr>
                <w:color w:val="222222"/>
              </w:rPr>
            </w:pPr>
            <w:r w:rsidRPr="001B1A3D">
              <w:rPr>
                <w:color w:val="222222"/>
              </w:rPr>
              <w:t>2. Vùng có điều kiện kinh tế - xã hội đặc biệt khó khăn quy định tại Nghị định này bao gồm:</w:t>
            </w:r>
          </w:p>
          <w:p w:rsidR="000710AC" w:rsidRPr="001B1A3D" w:rsidRDefault="000710AC" w:rsidP="001B1A3D">
            <w:pPr>
              <w:spacing w:before="120" w:after="120" w:line="360" w:lineRule="auto"/>
              <w:jc w:val="both"/>
              <w:rPr>
                <w:color w:val="222222"/>
              </w:rPr>
            </w:pPr>
            <w:r w:rsidRPr="001B1A3D">
              <w:rPr>
                <w:color w:val="222222"/>
              </w:rPr>
              <w:t>a) Các huyện đảo: Trường Sa, Hoàng Sa;</w:t>
            </w:r>
          </w:p>
          <w:p w:rsidR="000710AC" w:rsidRPr="001B1A3D" w:rsidRDefault="000710AC" w:rsidP="001B1A3D">
            <w:pPr>
              <w:spacing w:before="120" w:after="120" w:line="360" w:lineRule="auto"/>
              <w:jc w:val="both"/>
              <w:rPr>
                <w:color w:val="222222"/>
              </w:rPr>
            </w:pPr>
            <w:r w:rsidRPr="001B1A3D">
              <w:rPr>
                <w:color w:val="222222"/>
              </w:rPr>
              <w:lastRenderedPageBreak/>
              <w:t>b) Các xã đặc biệt khó khăn vùng đồng bào dân tộc và miền núi, các xã đặc biệt khó khăn vùng bãi ngang ven biển và hải đảo theo quyết định của Thủ tướng Chính phủ;</w:t>
            </w:r>
          </w:p>
          <w:p w:rsidR="000710AC" w:rsidRPr="001B1A3D" w:rsidRDefault="000710AC" w:rsidP="001B1A3D">
            <w:pPr>
              <w:spacing w:before="120" w:after="120" w:line="360" w:lineRule="auto"/>
              <w:jc w:val="both"/>
              <w:rPr>
                <w:color w:val="222222"/>
              </w:rPr>
            </w:pPr>
            <w:r w:rsidRPr="001B1A3D">
              <w:rPr>
                <w:color w:val="222222"/>
              </w:rPr>
              <w:t>c) Các thôn, buôn, xóm, bản, làng, phum, sóc, ấp... (gọi chung là thôn) đặc biệt khó khăn theo quyết định của cơ quan có thẩm quyền.</w:t>
            </w:r>
          </w:p>
          <w:p w:rsidR="000710AC" w:rsidRPr="001B1A3D" w:rsidRDefault="000710AC" w:rsidP="001B1A3D">
            <w:pPr>
              <w:spacing w:before="120" w:after="120" w:line="360" w:lineRule="auto"/>
              <w:jc w:val="both"/>
              <w:rPr>
                <w:color w:val="222222"/>
              </w:rPr>
            </w:pPr>
            <w:r w:rsidRPr="001B1A3D">
              <w:rPr>
                <w:color w:val="222222"/>
              </w:rPr>
              <w:t>3. Các huyện nghèo theo Nghị quyết số 30a/2008/NQ-CP ngày 27 tháng 12 năm 2008 của Chính phủ được áp dụng hưởng chính sách như quy định đối với vùng có điều kiện kinh tế - xã hội đặc biệt khó khăn.”</w:t>
            </w:r>
          </w:p>
          <w:p w:rsidR="000710AC" w:rsidRPr="001B1A3D" w:rsidRDefault="000710AC" w:rsidP="001B1A3D">
            <w:pPr>
              <w:spacing w:before="120" w:after="120" w:line="360" w:lineRule="auto"/>
              <w:jc w:val="both"/>
              <w:rPr>
                <w:color w:val="222222"/>
              </w:rPr>
            </w:pPr>
            <w:r w:rsidRPr="001B1A3D">
              <w:rPr>
                <w:b/>
                <w:bCs/>
                <w:color w:val="222222"/>
              </w:rPr>
              <w:t>2. Bổ sung Khoản 3 Điều 8 như sau:</w:t>
            </w:r>
          </w:p>
          <w:p w:rsidR="000710AC" w:rsidRPr="001B1A3D" w:rsidRDefault="000710AC" w:rsidP="001B1A3D">
            <w:pPr>
              <w:spacing w:before="120" w:after="120" w:line="360" w:lineRule="auto"/>
              <w:jc w:val="both"/>
              <w:rPr>
                <w:color w:val="222222"/>
              </w:rPr>
            </w:pPr>
            <w:r w:rsidRPr="001B1A3D">
              <w:rPr>
                <w:b/>
                <w:bCs/>
                <w:color w:val="222222"/>
              </w:rPr>
              <w:t>“Điều 8. Phụ cấp thu hút</w:t>
            </w:r>
          </w:p>
          <w:p w:rsidR="000710AC" w:rsidRPr="001B1A3D" w:rsidRDefault="000710AC" w:rsidP="001B1A3D">
            <w:pPr>
              <w:spacing w:before="120" w:after="120" w:line="360" w:lineRule="auto"/>
              <w:jc w:val="both"/>
              <w:rPr>
                <w:color w:val="222222"/>
              </w:rPr>
            </w:pPr>
            <w:r w:rsidRPr="001B1A3D">
              <w:rPr>
                <w:color w:val="222222"/>
              </w:rPr>
              <w:t>3. Tính từ ngày Nghị định này có hiệu lực thi hành, nhà giáo, cán bộ quản lý giáo dục đã hết thời hạn công tác theo quy định nhưng cơ quan quản lý giáo dục có thẩm quyền chưa sắp xếp, luân chuyển công tác trở về nơi ở hoặc nơi làm việc cuối cùng trước khi luân chuyển đến công tác ở vùng có điều kiện kinh tê - xã hội đặc biệt khó khăn thì tiếp tục được hưởng phụ cấp thu hút bằng 70% mức lương hiện hưởng và phụ cấp chức vụ lãnh đạo, phụ cấp thâm niên vượt khung (nếu có), nhưng thôi không hưởng phụ cấp công tác lâu năm ở vùng có điều kiện kinh tế - xã hội đặc biệt khó khăn quy định tại Điều 5 Nghị định số 116/2010/NĐ-CP ngày 24 tháng 12 năm 2010 của Chính phủ về chính sách đối với cán bộ, công chức, viên chức và người hưởng lương trong lực lượng vũ trang công tác ở vùng có điều kiện kinh tế - xã hội đặc biệt khó khăn (sau đây gọi chung là Nghị định 116/2010/NĐ-CP).”</w:t>
            </w:r>
          </w:p>
          <w:p w:rsidR="000710AC" w:rsidRPr="001B1A3D" w:rsidRDefault="000710AC" w:rsidP="001B1A3D">
            <w:pPr>
              <w:spacing w:before="120" w:after="120" w:line="360" w:lineRule="auto"/>
              <w:jc w:val="both"/>
              <w:rPr>
                <w:color w:val="222222"/>
              </w:rPr>
            </w:pPr>
            <w:r w:rsidRPr="001B1A3D">
              <w:rPr>
                <w:b/>
                <w:bCs/>
                <w:color w:val="222222"/>
              </w:rPr>
              <w:t>3. Sửa đổi, bổ sung Khoản 3 Điều 9 như sau:</w:t>
            </w:r>
          </w:p>
          <w:p w:rsidR="000710AC" w:rsidRPr="001B1A3D" w:rsidRDefault="000710AC" w:rsidP="001B1A3D">
            <w:pPr>
              <w:spacing w:before="120" w:after="120" w:line="360" w:lineRule="auto"/>
              <w:jc w:val="both"/>
              <w:rPr>
                <w:color w:val="222222"/>
              </w:rPr>
            </w:pPr>
            <w:r w:rsidRPr="001B1A3D">
              <w:rPr>
                <w:b/>
                <w:bCs/>
                <w:color w:val="222222"/>
              </w:rPr>
              <w:t>“Điều 9. Thời hạn luân chuyển nhà giáo, cán bộ quản lý giáo dục và trợ cấp chuyển vùng</w:t>
            </w:r>
          </w:p>
          <w:p w:rsidR="000710AC" w:rsidRPr="001B1A3D" w:rsidRDefault="000710AC" w:rsidP="001B1A3D">
            <w:pPr>
              <w:spacing w:before="120" w:after="120" w:line="360" w:lineRule="auto"/>
              <w:jc w:val="both"/>
              <w:rPr>
                <w:color w:val="222222"/>
              </w:rPr>
            </w:pPr>
            <w:r w:rsidRPr="001B1A3D">
              <w:rPr>
                <w:color w:val="222222"/>
              </w:rPr>
              <w:t>3. Nhà giáo, cán bộ quản lý giáo dục có gia đình chuyển đi theo thì được trợ cấp tiền tàu xe, cước hành lý cho các thành viên đi cùng và được trợ cấp chuyển vùng bằng 12 tháng lương tối thiểu chung cho một hộ tại thời điểm nhận công tác, luân chuyển ghi trong quyết định luân chuyển.”</w:t>
            </w:r>
          </w:p>
          <w:p w:rsidR="000710AC" w:rsidRPr="001B1A3D" w:rsidRDefault="000710AC" w:rsidP="001B1A3D">
            <w:pPr>
              <w:spacing w:before="120" w:after="120" w:line="360" w:lineRule="auto"/>
              <w:jc w:val="both"/>
              <w:rPr>
                <w:color w:val="222222"/>
              </w:rPr>
            </w:pPr>
            <w:r w:rsidRPr="001B1A3D">
              <w:rPr>
                <w:b/>
                <w:bCs/>
                <w:color w:val="222222"/>
              </w:rPr>
              <w:t>4. Sửa đổi, bổ sung Điều 10 như sau:</w:t>
            </w:r>
          </w:p>
          <w:p w:rsidR="000710AC" w:rsidRPr="001B1A3D" w:rsidRDefault="000710AC" w:rsidP="001B1A3D">
            <w:pPr>
              <w:spacing w:before="120" w:after="120" w:line="360" w:lineRule="auto"/>
              <w:jc w:val="both"/>
              <w:rPr>
                <w:color w:val="222222"/>
              </w:rPr>
            </w:pPr>
            <w:r w:rsidRPr="001B1A3D">
              <w:rPr>
                <w:b/>
                <w:bCs/>
                <w:color w:val="222222"/>
              </w:rPr>
              <w:t>“Điều 10. Trợ cấp lần đầu</w:t>
            </w:r>
          </w:p>
          <w:p w:rsidR="000710AC" w:rsidRPr="001B1A3D" w:rsidRDefault="000710AC" w:rsidP="001B1A3D">
            <w:pPr>
              <w:spacing w:before="120" w:after="120" w:line="360" w:lineRule="auto"/>
              <w:jc w:val="both"/>
              <w:rPr>
                <w:color w:val="222222"/>
              </w:rPr>
            </w:pPr>
            <w:r w:rsidRPr="001B1A3D">
              <w:rPr>
                <w:color w:val="222222"/>
              </w:rPr>
              <w:t xml:space="preserve">1. Nhà giáo, cán bộ quản lý giáo dục khi được luân chuyển đến công tác ở vùng có điều kiện kinh tế - xã </w:t>
            </w:r>
            <w:r w:rsidRPr="001B1A3D">
              <w:rPr>
                <w:color w:val="222222"/>
              </w:rPr>
              <w:lastRenderedPageBreak/>
              <w:t>hội đặc biệt khó khăn được hưởng trợ cấp lần đầu bằng 10 tháng lương tối thiểu chung cho một người tại thời điểm nhận công tác, luân chuyển ghi trong quyết định luân chuyển, Ủy ban nhân dân cấp huyện của địa phương có trách nhiệm tiếp nhận, giải quyết trợ cấp lần đầu và chỗ ở cho nhà giáo, cán bộ quản lý giáo dục được chuyển đến địa phương.</w:t>
            </w:r>
          </w:p>
          <w:p w:rsidR="000710AC" w:rsidRPr="001B1A3D" w:rsidRDefault="000710AC" w:rsidP="001B1A3D">
            <w:pPr>
              <w:spacing w:before="120" w:after="120" w:line="360" w:lineRule="auto"/>
              <w:jc w:val="both"/>
              <w:rPr>
                <w:color w:val="222222"/>
              </w:rPr>
            </w:pPr>
            <w:r w:rsidRPr="001B1A3D">
              <w:rPr>
                <w:color w:val="222222"/>
              </w:rPr>
              <w:t>2. Chỉ thực hiện một lần mức trợ cấp quy định tại Khoản 3 Điều 9, Khoản 1 Điều này trong cả thời gian công tác ở vùng có điều kiện kinh tế - xã hội đặc biệt khó khăn.”</w:t>
            </w:r>
          </w:p>
          <w:p w:rsidR="000710AC" w:rsidRPr="001B1A3D" w:rsidRDefault="000710AC" w:rsidP="001B1A3D">
            <w:pPr>
              <w:spacing w:before="120" w:after="120" w:line="360" w:lineRule="auto"/>
              <w:jc w:val="both"/>
              <w:rPr>
                <w:color w:val="222222"/>
              </w:rPr>
            </w:pPr>
            <w:r w:rsidRPr="001B1A3D">
              <w:rPr>
                <w:b/>
                <w:bCs/>
                <w:color w:val="222222"/>
              </w:rPr>
              <w:t>Điều </w:t>
            </w:r>
            <w:bookmarkStart w:id="2" w:name="Dieu_2"/>
            <w:bookmarkEnd w:id="2"/>
            <w:r w:rsidRPr="001B1A3D">
              <w:rPr>
                <w:b/>
                <w:bCs/>
                <w:color w:val="222222"/>
              </w:rPr>
              <w:t>2. Trách nhiệm tổ chức thực hiện</w:t>
            </w:r>
          </w:p>
          <w:p w:rsidR="000710AC" w:rsidRPr="001B1A3D" w:rsidRDefault="000710AC" w:rsidP="001B1A3D">
            <w:pPr>
              <w:spacing w:before="120" w:after="120" w:line="360" w:lineRule="auto"/>
              <w:jc w:val="both"/>
              <w:rPr>
                <w:color w:val="222222"/>
              </w:rPr>
            </w:pPr>
            <w:r w:rsidRPr="001B1A3D">
              <w:rPr>
                <w:color w:val="222222"/>
              </w:rPr>
              <w:t>1. Bộ Giáo dục và Đào tạo chủ trì, phối hợp với Bộ Nội vụ, Bộ Tài chính hướng dẫn thực hiện Nghị định này.</w:t>
            </w:r>
          </w:p>
          <w:p w:rsidR="000710AC" w:rsidRPr="001B1A3D" w:rsidRDefault="000710AC" w:rsidP="001B1A3D">
            <w:pPr>
              <w:spacing w:before="120" w:after="120" w:line="360" w:lineRule="auto"/>
              <w:jc w:val="both"/>
              <w:rPr>
                <w:color w:val="222222"/>
              </w:rPr>
            </w:pPr>
            <w:r w:rsidRPr="001B1A3D">
              <w:rPr>
                <w:color w:val="222222"/>
              </w:rPr>
              <w:t>2. Các Bộ trưởng, Thủ trưởng cơ quan ngang Bộ, Thủ trưởng cơ quan thuộc Chính phủ, Chủ tịch Ủy ban nhân dân các tỉnh, thành phố trực thuộc Trung ương chịu trách nhiệm thi hành Nghị định này.</w:t>
            </w:r>
          </w:p>
          <w:p w:rsidR="000710AC" w:rsidRPr="001B1A3D" w:rsidRDefault="000710AC" w:rsidP="001B1A3D">
            <w:pPr>
              <w:spacing w:before="120" w:after="120" w:line="360" w:lineRule="auto"/>
              <w:jc w:val="both"/>
              <w:rPr>
                <w:color w:val="222222"/>
              </w:rPr>
            </w:pPr>
            <w:r w:rsidRPr="001B1A3D">
              <w:rPr>
                <w:b/>
                <w:bCs/>
                <w:color w:val="222222"/>
              </w:rPr>
              <w:t>Điều </w:t>
            </w:r>
            <w:bookmarkStart w:id="3" w:name="Dieu_3"/>
            <w:bookmarkEnd w:id="3"/>
            <w:r w:rsidRPr="001B1A3D">
              <w:rPr>
                <w:b/>
                <w:bCs/>
                <w:color w:val="222222"/>
              </w:rPr>
              <w:t>3. Điều khoản thi hành</w:t>
            </w:r>
          </w:p>
          <w:p w:rsidR="000710AC" w:rsidRPr="001B1A3D" w:rsidRDefault="000710AC" w:rsidP="001B1A3D">
            <w:pPr>
              <w:spacing w:before="120" w:after="120" w:line="360" w:lineRule="auto"/>
              <w:jc w:val="both"/>
              <w:rPr>
                <w:color w:val="222222"/>
              </w:rPr>
            </w:pPr>
            <w:r w:rsidRPr="001B1A3D">
              <w:rPr>
                <w:color w:val="222222"/>
              </w:rPr>
              <w:t>1. Nghị định này có hiệu lực thi hành kể từ ngày 15 tháng 4 năm 2013.</w:t>
            </w:r>
          </w:p>
          <w:p w:rsidR="000710AC" w:rsidRPr="001B1A3D" w:rsidRDefault="000710AC" w:rsidP="001B1A3D">
            <w:pPr>
              <w:spacing w:before="120" w:after="120" w:line="360" w:lineRule="auto"/>
              <w:jc w:val="both"/>
              <w:rPr>
                <w:color w:val="222222"/>
              </w:rPr>
            </w:pPr>
            <w:r w:rsidRPr="001B1A3D">
              <w:rPr>
                <w:color w:val="222222"/>
              </w:rPr>
              <w:t>2. Nhà giáo, cán bộ quản lý giáo dục công tác ở vùng có điều kiện kinh tế - xã hội đặc biệt khó khăn, ngoài việc được hưởng các chính sách quy định tại Nghị định 61/2006/NĐ-CP và quy định tại Nghị định này còn được hưởng chính sách trợ cấp một lần khi chuyển công tác ra khỏi vùng có điều kiện kinh tế - xã hội đặc biệt khó khăn hoặc nghỉ hưu và được thanh toán tiền tàu, xe trong thời gian làm việc tại vùng có điều kiện kinh tế - xã hội đặc biệt khó khăn khi đi và về thăm gia đình theo quy định tại Điều 8, Điều 9 Nghị định 116/2010/NĐ-CP.</w:t>
            </w:r>
          </w:p>
          <w:p w:rsidR="000710AC" w:rsidRPr="001B1A3D" w:rsidRDefault="000710AC" w:rsidP="001B1A3D">
            <w:pPr>
              <w:spacing w:before="120" w:after="120" w:line="360" w:lineRule="auto"/>
              <w:jc w:val="both"/>
              <w:rPr>
                <w:color w:val="222222"/>
              </w:rPr>
            </w:pPr>
            <w:r w:rsidRPr="001B1A3D">
              <w:rPr>
                <w:color w:val="222222"/>
              </w:rPr>
              <w:t>3. Nghị định này bãi bỏ Khoản 2 Điều 2, Khoản 3 Điều 9 và Điều 10 của Nghị định 61/2006/NĐ-CP./.</w:t>
            </w:r>
          </w:p>
        </w:tc>
      </w:tr>
      <w:tr w:rsidR="000710AC" w:rsidRPr="001B1A3D" w:rsidTr="000710AC">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331"/>
            </w:tblGrid>
            <w:tr w:rsidR="000710AC" w:rsidRPr="001B1A3D">
              <w:trPr>
                <w:tblCellSpacing w:w="15" w:type="dxa"/>
                <w:jc w:val="right"/>
              </w:trPr>
              <w:tc>
                <w:tcPr>
                  <w:tcW w:w="5000" w:type="pct"/>
                  <w:vAlign w:val="center"/>
                  <w:hideMark/>
                </w:tcPr>
                <w:p w:rsidR="000710AC" w:rsidRPr="001B1A3D" w:rsidRDefault="000710AC" w:rsidP="001B1A3D">
                  <w:pPr>
                    <w:spacing w:line="360" w:lineRule="auto"/>
                    <w:jc w:val="center"/>
                  </w:pPr>
                  <w:r w:rsidRPr="001B1A3D">
                    <w:rPr>
                      <w:b/>
                      <w:bCs/>
                    </w:rPr>
                    <w:lastRenderedPageBreak/>
                    <w:t>TM. CHÍNH PHỦ</w:t>
                  </w:r>
                </w:p>
              </w:tc>
            </w:tr>
            <w:tr w:rsidR="000710AC" w:rsidRPr="001B1A3D">
              <w:trPr>
                <w:tblCellSpacing w:w="15" w:type="dxa"/>
                <w:jc w:val="right"/>
              </w:trPr>
              <w:tc>
                <w:tcPr>
                  <w:tcW w:w="5000" w:type="pct"/>
                  <w:vAlign w:val="center"/>
                  <w:hideMark/>
                </w:tcPr>
                <w:p w:rsidR="000710AC" w:rsidRPr="001B1A3D" w:rsidRDefault="000710AC" w:rsidP="001B1A3D">
                  <w:pPr>
                    <w:spacing w:line="360" w:lineRule="auto"/>
                    <w:jc w:val="center"/>
                  </w:pPr>
                  <w:r w:rsidRPr="001B1A3D">
                    <w:rPr>
                      <w:b/>
                      <w:bCs/>
                    </w:rPr>
                    <w:t>THỦ TƯỚNG</w:t>
                  </w:r>
                </w:p>
              </w:tc>
            </w:tr>
            <w:tr w:rsidR="000710AC" w:rsidRPr="001B1A3D">
              <w:trPr>
                <w:tblCellSpacing w:w="15" w:type="dxa"/>
                <w:jc w:val="right"/>
              </w:trPr>
              <w:tc>
                <w:tcPr>
                  <w:tcW w:w="5000" w:type="pct"/>
                  <w:vAlign w:val="center"/>
                  <w:hideMark/>
                </w:tcPr>
                <w:p w:rsidR="000710AC" w:rsidRPr="001B1A3D" w:rsidRDefault="000710AC" w:rsidP="001B1A3D">
                  <w:pPr>
                    <w:spacing w:line="360" w:lineRule="auto"/>
                    <w:jc w:val="center"/>
                  </w:pPr>
                  <w:r w:rsidRPr="001B1A3D">
                    <w:rPr>
                      <w:i/>
                      <w:iCs/>
                    </w:rPr>
                    <w:t>(Đã ký)</w:t>
                  </w:r>
                </w:p>
              </w:tc>
            </w:tr>
            <w:tr w:rsidR="000710AC" w:rsidRPr="001B1A3D">
              <w:trPr>
                <w:tblCellSpacing w:w="15" w:type="dxa"/>
                <w:jc w:val="right"/>
              </w:trPr>
              <w:tc>
                <w:tcPr>
                  <w:tcW w:w="5000" w:type="pct"/>
                  <w:vAlign w:val="center"/>
                  <w:hideMark/>
                </w:tcPr>
                <w:p w:rsidR="000710AC" w:rsidRPr="001B1A3D" w:rsidRDefault="000710AC" w:rsidP="001B1A3D">
                  <w:pPr>
                    <w:spacing w:line="360" w:lineRule="auto"/>
                    <w:jc w:val="center"/>
                  </w:pPr>
                  <w:r w:rsidRPr="001B1A3D">
                    <w:t> </w:t>
                  </w:r>
                </w:p>
              </w:tc>
            </w:tr>
            <w:tr w:rsidR="000710AC" w:rsidRPr="001B1A3D">
              <w:trPr>
                <w:tblCellSpacing w:w="15" w:type="dxa"/>
                <w:jc w:val="right"/>
              </w:trPr>
              <w:tc>
                <w:tcPr>
                  <w:tcW w:w="5000" w:type="pct"/>
                  <w:vAlign w:val="center"/>
                  <w:hideMark/>
                </w:tcPr>
                <w:p w:rsidR="000710AC" w:rsidRPr="001B1A3D" w:rsidRDefault="000710AC" w:rsidP="001B1A3D">
                  <w:pPr>
                    <w:spacing w:line="360" w:lineRule="auto"/>
                    <w:jc w:val="center"/>
                  </w:pPr>
                  <w:r w:rsidRPr="001B1A3D">
                    <w:t> </w:t>
                  </w:r>
                </w:p>
              </w:tc>
            </w:tr>
            <w:tr w:rsidR="000710AC" w:rsidRPr="001B1A3D">
              <w:trPr>
                <w:tblCellSpacing w:w="15" w:type="dxa"/>
                <w:jc w:val="right"/>
              </w:trPr>
              <w:tc>
                <w:tcPr>
                  <w:tcW w:w="5000" w:type="pct"/>
                  <w:vAlign w:val="center"/>
                  <w:hideMark/>
                </w:tcPr>
                <w:p w:rsidR="000710AC" w:rsidRPr="001B1A3D" w:rsidRDefault="000710AC" w:rsidP="001B1A3D">
                  <w:pPr>
                    <w:spacing w:line="360" w:lineRule="auto"/>
                    <w:jc w:val="center"/>
                  </w:pPr>
                  <w:r w:rsidRPr="001B1A3D">
                    <w:rPr>
                      <w:b/>
                      <w:bCs/>
                    </w:rPr>
                    <w:lastRenderedPageBreak/>
                    <w:t>Nguyễn Tấn Dũng</w:t>
                  </w:r>
                </w:p>
              </w:tc>
            </w:tr>
          </w:tbl>
          <w:p w:rsidR="000710AC" w:rsidRPr="001B1A3D" w:rsidRDefault="000710AC" w:rsidP="001B1A3D">
            <w:pPr>
              <w:spacing w:line="360" w:lineRule="auto"/>
              <w:jc w:val="right"/>
              <w:rPr>
                <w:color w:val="222222"/>
              </w:rPr>
            </w:pPr>
          </w:p>
        </w:tc>
      </w:tr>
    </w:tbl>
    <w:p w:rsidR="003C3FB5" w:rsidRPr="001B1A3D" w:rsidRDefault="003C3FB5" w:rsidP="001B1A3D">
      <w:pPr>
        <w:spacing w:line="360" w:lineRule="auto"/>
      </w:pPr>
    </w:p>
    <w:sectPr w:rsidR="003C3FB5" w:rsidRPr="001B1A3D" w:rsidSect="001B1A3D">
      <w:headerReference w:type="default" r:id="rId6"/>
      <w:footerReference w:type="default" r:id="rId7"/>
      <w:pgSz w:w="11907" w:h="16840" w:code="9"/>
      <w:pgMar w:top="1620" w:right="510" w:bottom="1170" w:left="1304" w:header="340" w:footer="1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4A7" w:rsidRDefault="006374A7" w:rsidP="00D9152F">
      <w:r>
        <w:separator/>
      </w:r>
    </w:p>
  </w:endnote>
  <w:endnote w:type="continuationSeparator" w:id="1">
    <w:p w:rsidR="006374A7" w:rsidRDefault="006374A7"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3D" w:rsidRPr="00A67571" w:rsidRDefault="001B1A3D" w:rsidP="001B1A3D">
    <w:pPr>
      <w:pStyle w:val="Chntrang"/>
      <w:jc w:val="center"/>
    </w:pPr>
    <w:r w:rsidRPr="00A67571">
      <w:rPr>
        <w:b/>
        <w:color w:val="FF0000"/>
      </w:rPr>
      <w:t xml:space="preserve">TỔNG ĐÀI TƯ VẤN PHÁP LUẬT TRỰC TUYẾN </w:t>
    </w:r>
    <w:r>
      <w:rPr>
        <w:b/>
        <w:color w:val="FF0000"/>
      </w:rPr>
      <w:t>24/7: 1900.6568</w:t>
    </w:r>
  </w:p>
  <w:p w:rsidR="00D9152F" w:rsidRPr="001B1A3D" w:rsidRDefault="00D9152F" w:rsidP="001B1A3D">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4A7" w:rsidRDefault="006374A7" w:rsidP="00D9152F">
      <w:r>
        <w:separator/>
      </w:r>
    </w:p>
  </w:footnote>
  <w:footnote w:type="continuationSeparator" w:id="1">
    <w:p w:rsidR="006374A7" w:rsidRDefault="006374A7"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1B1A3D" w:rsidRPr="00A67571" w:rsidTr="009F46D3">
      <w:trPr>
        <w:trHeight w:val="1208"/>
      </w:trPr>
      <w:tc>
        <w:tcPr>
          <w:tcW w:w="2411" w:type="dxa"/>
          <w:tcBorders>
            <w:top w:val="nil"/>
            <w:left w:val="nil"/>
            <w:bottom w:val="single" w:sz="4" w:space="0" w:color="auto"/>
            <w:right w:val="nil"/>
          </w:tcBorders>
          <w:vAlign w:val="center"/>
          <w:hideMark/>
        </w:tcPr>
        <w:p w:rsidR="001B1A3D" w:rsidRPr="00A67571" w:rsidRDefault="001B1A3D" w:rsidP="009F46D3">
          <w:pPr>
            <w:rPr>
              <w:b/>
              <w:sz w:val="20"/>
            </w:rPr>
          </w:pPr>
          <w:r w:rsidRPr="00A67571">
            <w:rPr>
              <w:b/>
              <w:sz w:val="20"/>
            </w:rPr>
            <w:t xml:space="preserve">        </w:t>
          </w:r>
          <w:r>
            <w:rPr>
              <w:b/>
              <w:noProof/>
              <w:sz w:val="20"/>
              <w:lang w:val="vi-VN" w:eastAsia="vi-VN"/>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1B1A3D" w:rsidRPr="00A67571" w:rsidRDefault="001B1A3D" w:rsidP="009F46D3">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1B1A3D" w:rsidRPr="00A67571" w:rsidRDefault="001B1A3D" w:rsidP="009F46D3">
          <w:pPr>
            <w:rPr>
              <w:sz w:val="20"/>
            </w:rPr>
          </w:pPr>
          <w:r w:rsidRPr="00A67571">
            <w:rPr>
              <w:sz w:val="20"/>
            </w:rPr>
            <w:t>No 2305, VNT Tower, 19  Nguyen Trai Street, Thanh Xuan District, Hanoi City, Viet Nam</w:t>
          </w:r>
        </w:p>
        <w:p w:rsidR="001B1A3D" w:rsidRPr="00A67571" w:rsidRDefault="001B1A3D" w:rsidP="009F46D3">
          <w:pPr>
            <w:rPr>
              <w:sz w:val="20"/>
            </w:rPr>
          </w:pPr>
          <w:r w:rsidRPr="00A67571">
            <w:rPr>
              <w:sz w:val="20"/>
            </w:rPr>
            <w:t>Tel:</w:t>
          </w:r>
          <w:r>
            <w:rPr>
              <w:sz w:val="20"/>
            </w:rPr>
            <w:t xml:space="preserve">   1900.6568      </w:t>
          </w:r>
          <w:r w:rsidRPr="00A67571">
            <w:rPr>
              <w:sz w:val="20"/>
            </w:rPr>
            <w:t xml:space="preserve">  Fax: 04.3562.7716</w:t>
          </w:r>
        </w:p>
        <w:p w:rsidR="001B1A3D" w:rsidRPr="00A67571" w:rsidRDefault="001B1A3D" w:rsidP="009F46D3">
          <w:pPr>
            <w:rPr>
              <w:sz w:val="20"/>
            </w:rPr>
          </w:pPr>
          <w:r w:rsidRPr="00A67571">
            <w:rPr>
              <w:sz w:val="20"/>
            </w:rPr>
            <w:t xml:space="preserve">Email: </w:t>
          </w:r>
          <w:hyperlink r:id="rId2" w:history="1">
            <w:r w:rsidRPr="00776A8D">
              <w:rPr>
                <w:rStyle w:val="Siunikt"/>
                <w:sz w:val="20"/>
              </w:rPr>
              <w:t>lienhe@luatduonggia.vn</w:t>
            </w:r>
          </w:hyperlink>
          <w:r w:rsidRPr="00A67571">
            <w:rPr>
              <w:sz w:val="20"/>
            </w:rPr>
            <w:t xml:space="preserve">    Website: </w:t>
          </w:r>
          <w:hyperlink r:id="rId3" w:history="1">
            <w:r w:rsidRPr="00B330C7">
              <w:rPr>
                <w:rStyle w:val="Siunikt"/>
                <w:sz w:val="20"/>
              </w:rPr>
              <w:t>http://www.luatduonggia.vn</w:t>
            </w:r>
          </w:hyperlink>
        </w:p>
      </w:tc>
    </w:tr>
  </w:tbl>
  <w:p w:rsidR="001B1A3D" w:rsidRPr="00A67571" w:rsidRDefault="001B1A3D" w:rsidP="001B1A3D">
    <w:pPr>
      <w:pStyle w:val="utrang"/>
    </w:pPr>
  </w:p>
  <w:p w:rsidR="002F4299" w:rsidRPr="001B1A3D" w:rsidRDefault="006374A7" w:rsidP="001B1A3D">
    <w:pPr>
      <w:pStyle w:val="utrang"/>
      <w:rPr>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152F"/>
    <w:rsid w:val="000710AC"/>
    <w:rsid w:val="001B1A3D"/>
    <w:rsid w:val="003C3FB5"/>
    <w:rsid w:val="00571B54"/>
    <w:rsid w:val="005B4EBC"/>
    <w:rsid w:val="006374A7"/>
    <w:rsid w:val="007160C6"/>
    <w:rsid w:val="00817063"/>
    <w:rsid w:val="00CD40D0"/>
    <w:rsid w:val="00D9152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D9152F"/>
    <w:pPr>
      <w:spacing w:after="0" w:line="240" w:lineRule="auto"/>
    </w:pPr>
    <w:rPr>
      <w:rFonts w:eastAsia="Times New Roman" w:cs="Times New Roman"/>
      <w:sz w:val="24"/>
      <w:szCs w:val="24"/>
    </w:rPr>
  </w:style>
  <w:style w:type="paragraph" w:styleId="mc6">
    <w:name w:val="heading 6"/>
    <w:basedOn w:val="Chun"/>
    <w:next w:val="Chun"/>
    <w:link w:val="mc6Char"/>
    <w:unhideWhenUsed/>
    <w:qFormat/>
    <w:rsid w:val="00D9152F"/>
    <w:pPr>
      <w:spacing w:before="240" w:after="60"/>
      <w:outlineLvl w:val="5"/>
    </w:pPr>
    <w:rPr>
      <w:rFonts w:ascii="Calibri" w:hAnsi="Calibri"/>
      <w:b/>
      <w:bCs/>
      <w:sz w:val="22"/>
      <w:szCs w:val="22"/>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tlthnvnbn">
    <w:name w:val="Body Text Indent"/>
    <w:basedOn w:val="Chun"/>
    <w:link w:val="ThtlthnvnbnChar"/>
    <w:rsid w:val="00D9152F"/>
    <w:pPr>
      <w:spacing w:line="360" w:lineRule="auto"/>
      <w:ind w:firstLine="567"/>
      <w:jc w:val="both"/>
    </w:pPr>
    <w:rPr>
      <w:rFonts w:ascii="Verdana" w:hAnsi="Verdana"/>
      <w:b/>
      <w:bCs/>
      <w:i/>
      <w:iCs/>
      <w:color w:val="3366FF"/>
      <w:sz w:val="18"/>
      <w:szCs w:val="18"/>
    </w:rPr>
  </w:style>
  <w:style w:type="character" w:customStyle="1" w:styleId="ThtlthnvnbnChar">
    <w:name w:val="Thụt lề thân văn bản Char"/>
    <w:basedOn w:val="Phngmcnhcaonvn"/>
    <w:link w:val="Thtlthnvnbn"/>
    <w:rsid w:val="00D9152F"/>
    <w:rPr>
      <w:rFonts w:ascii="Verdana" w:eastAsia="Times New Roman" w:hAnsi="Verdana" w:cs="Times New Roman"/>
      <w:b/>
      <w:bCs/>
      <w:i/>
      <w:iCs/>
      <w:color w:val="3366FF"/>
      <w:sz w:val="18"/>
      <w:szCs w:val="18"/>
    </w:rPr>
  </w:style>
  <w:style w:type="character" w:styleId="Mnh">
    <w:name w:val="Strong"/>
    <w:basedOn w:val="Phngmcnhcaonvn"/>
    <w:qFormat/>
    <w:rsid w:val="00D9152F"/>
    <w:rPr>
      <w:b/>
      <w:bCs/>
    </w:rPr>
  </w:style>
  <w:style w:type="paragraph" w:styleId="ChunWeb">
    <w:name w:val="Normal (Web)"/>
    <w:basedOn w:val="Chun"/>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Chun"/>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Chun"/>
    <w:rsid w:val="00D9152F"/>
    <w:pPr>
      <w:spacing w:before="150" w:after="75"/>
      <w:ind w:left="150" w:right="75"/>
    </w:pPr>
    <w:rPr>
      <w:rFonts w:ascii="Geneva" w:hAnsi="Geneva"/>
      <w:b/>
      <w:bCs/>
      <w:color w:val="0000FF"/>
      <w:sz w:val="20"/>
      <w:szCs w:val="20"/>
    </w:rPr>
  </w:style>
  <w:style w:type="paragraph" w:customStyle="1" w:styleId="prgtitle">
    <w:name w:val="prg_title"/>
    <w:basedOn w:val="Chun"/>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Chun"/>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Chun"/>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Chun"/>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Chun"/>
    <w:rsid w:val="00D9152F"/>
    <w:pPr>
      <w:spacing w:before="30" w:after="30"/>
      <w:ind w:left="30" w:right="30"/>
      <w:jc w:val="both"/>
    </w:pPr>
    <w:rPr>
      <w:rFonts w:ascii="Geneva" w:hAnsi="Geneva"/>
      <w:sz w:val="20"/>
      <w:szCs w:val="20"/>
    </w:rPr>
  </w:style>
  <w:style w:type="paragraph" w:customStyle="1" w:styleId="frame600">
    <w:name w:val="frame600"/>
    <w:basedOn w:val="Chun"/>
    <w:rsid w:val="00D9152F"/>
    <w:pPr>
      <w:jc w:val="both"/>
    </w:pPr>
    <w:rPr>
      <w:rFonts w:ascii="Geneva" w:hAnsi="Geneva"/>
      <w:sz w:val="20"/>
      <w:szCs w:val="20"/>
    </w:rPr>
  </w:style>
  <w:style w:type="paragraph" w:customStyle="1" w:styleId="frame620">
    <w:name w:val="frame620"/>
    <w:basedOn w:val="Chun"/>
    <w:rsid w:val="00D9152F"/>
    <w:pPr>
      <w:jc w:val="both"/>
    </w:pPr>
    <w:rPr>
      <w:rFonts w:ascii="Geneva" w:hAnsi="Geneva"/>
      <w:sz w:val="20"/>
      <w:szCs w:val="20"/>
    </w:rPr>
  </w:style>
  <w:style w:type="paragraph" w:customStyle="1" w:styleId="iehackwrap">
    <w:name w:val="iehackwrap"/>
    <w:basedOn w:val="Chun"/>
    <w:rsid w:val="00D9152F"/>
    <w:pPr>
      <w:spacing w:before="100" w:beforeAutospacing="1" w:after="100" w:afterAutospacing="1"/>
      <w:jc w:val="center"/>
    </w:pPr>
    <w:rPr>
      <w:rFonts w:ascii="Geneva" w:hAnsi="Geneva"/>
      <w:sz w:val="20"/>
      <w:szCs w:val="20"/>
    </w:rPr>
  </w:style>
  <w:style w:type="paragraph" w:customStyle="1" w:styleId="center">
    <w:name w:val="center"/>
    <w:basedOn w:val="Chun"/>
    <w:rsid w:val="00D9152F"/>
    <w:pPr>
      <w:spacing w:before="100" w:beforeAutospacing="1" w:after="100" w:afterAutospacing="1"/>
      <w:jc w:val="both"/>
    </w:pPr>
    <w:rPr>
      <w:rFonts w:ascii="Geneva" w:hAnsi="Geneva"/>
      <w:sz w:val="20"/>
      <w:szCs w:val="20"/>
    </w:rPr>
  </w:style>
  <w:style w:type="paragraph" w:customStyle="1" w:styleId="ndlogo">
    <w:name w:val="nd_logo"/>
    <w:basedOn w:val="Chun"/>
    <w:rsid w:val="00D9152F"/>
    <w:pPr>
      <w:textAlignment w:val="top"/>
    </w:pPr>
    <w:rPr>
      <w:rFonts w:ascii="Geneva" w:hAnsi="Geneva"/>
      <w:sz w:val="20"/>
      <w:szCs w:val="20"/>
    </w:rPr>
  </w:style>
  <w:style w:type="paragraph" w:customStyle="1" w:styleId="footnotes">
    <w:name w:val="footnotes"/>
    <w:basedOn w:val="Chun"/>
    <w:rsid w:val="00D9152F"/>
    <w:pPr>
      <w:textAlignment w:val="top"/>
    </w:pPr>
    <w:rPr>
      <w:rFonts w:ascii="Geneva" w:hAnsi="Geneva"/>
      <w:sz w:val="15"/>
      <w:szCs w:val="15"/>
    </w:rPr>
  </w:style>
  <w:style w:type="paragraph" w:customStyle="1" w:styleId="line">
    <w:name w:val="line"/>
    <w:basedOn w:val="Chun"/>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Chun"/>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Chun"/>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Chun"/>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Chun"/>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Chun"/>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Chun"/>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Chun"/>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Chun"/>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Chun"/>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Chun"/>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Chun"/>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Chun"/>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Chun"/>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Chun"/>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Chun"/>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Chun"/>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Chun"/>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Chun"/>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Chun"/>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Chun"/>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Chun"/>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Chun"/>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Chun"/>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Chun"/>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Chun"/>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Chun"/>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Chun"/>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Chun"/>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Chun"/>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Chun"/>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Chun"/>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Chun"/>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Chun"/>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Chun"/>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Chun"/>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Chun"/>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Chun"/>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Chun"/>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Chun"/>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Chun"/>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Chun"/>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Chun"/>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Chun"/>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Chun"/>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Chun"/>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Chun"/>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Chun"/>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Chun"/>
    <w:rsid w:val="00D9152F"/>
    <w:pPr>
      <w:spacing w:before="100" w:beforeAutospacing="1" w:after="100" w:afterAutospacing="1"/>
      <w:jc w:val="both"/>
    </w:pPr>
    <w:rPr>
      <w:i/>
      <w:iCs/>
      <w:color w:val="009900"/>
    </w:rPr>
  </w:style>
  <w:style w:type="paragraph" w:customStyle="1" w:styleId="titletho">
    <w:name w:val="title_tho"/>
    <w:basedOn w:val="Chun"/>
    <w:rsid w:val="00D9152F"/>
    <w:pPr>
      <w:spacing w:before="100" w:beforeAutospacing="1" w:after="100" w:afterAutospacing="1"/>
      <w:jc w:val="both"/>
    </w:pPr>
    <w:rPr>
      <w:b/>
      <w:bCs/>
      <w:sz w:val="20"/>
      <w:szCs w:val="20"/>
    </w:rPr>
  </w:style>
  <w:style w:type="paragraph" w:customStyle="1" w:styleId="thitruong">
    <w:name w:val="thitruong"/>
    <w:basedOn w:val="Chun"/>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Chun"/>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Chun"/>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Chun"/>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Chun"/>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Chun"/>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Chun"/>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Chun"/>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Chun"/>
    <w:rsid w:val="00D9152F"/>
    <w:pPr>
      <w:spacing w:before="100" w:beforeAutospacing="1" w:after="100" w:afterAutospacing="1"/>
      <w:jc w:val="both"/>
    </w:pPr>
    <w:rPr>
      <w:rFonts w:ascii="Verdana" w:hAnsi="Verdana"/>
      <w:sz w:val="15"/>
      <w:szCs w:val="15"/>
    </w:rPr>
  </w:style>
  <w:style w:type="character" w:styleId="Nhnmnh">
    <w:name w:val="Emphasis"/>
    <w:basedOn w:val="Phngmcnhcaonvn"/>
    <w:qFormat/>
    <w:rsid w:val="00D9152F"/>
    <w:rPr>
      <w:i/>
      <w:iCs/>
    </w:rPr>
  </w:style>
  <w:style w:type="paragraph" w:styleId="Thnvnbn">
    <w:name w:val="Body Text"/>
    <w:basedOn w:val="Chun"/>
    <w:link w:val="ThnvnbnChar"/>
    <w:rsid w:val="00D9152F"/>
    <w:pPr>
      <w:widowControl w:val="0"/>
      <w:spacing w:line="360" w:lineRule="auto"/>
      <w:jc w:val="center"/>
    </w:pPr>
    <w:rPr>
      <w:rFonts w:ascii="Arial" w:hAnsi="Arial" w:cs="Arial"/>
      <w:b/>
      <w:bCs/>
      <w:sz w:val="20"/>
      <w:szCs w:val="20"/>
    </w:rPr>
  </w:style>
  <w:style w:type="character" w:customStyle="1" w:styleId="ThnvnbnChar">
    <w:name w:val="Thân văn bản Char"/>
    <w:basedOn w:val="Phngmcnhcaonvn"/>
    <w:link w:val="Thnvnbn"/>
    <w:rsid w:val="00D9152F"/>
    <w:rPr>
      <w:rFonts w:ascii="Arial" w:eastAsia="Times New Roman" w:hAnsi="Arial" w:cs="Arial"/>
      <w:b/>
      <w:bCs/>
      <w:sz w:val="20"/>
      <w:szCs w:val="20"/>
    </w:rPr>
  </w:style>
  <w:style w:type="paragraph" w:styleId="ThnvnbnThtl2">
    <w:name w:val="Body Text Indent 2"/>
    <w:basedOn w:val="Chun"/>
    <w:link w:val="ThnvnbnThtl2Char"/>
    <w:rsid w:val="00D9152F"/>
    <w:pPr>
      <w:widowControl w:val="0"/>
      <w:spacing w:line="360" w:lineRule="auto"/>
      <w:ind w:firstLine="567"/>
      <w:jc w:val="center"/>
    </w:pPr>
    <w:rPr>
      <w:rFonts w:ascii="Arial" w:hAnsi="Arial" w:cs="Arial"/>
      <w:b/>
      <w:bCs/>
      <w:sz w:val="20"/>
      <w:szCs w:val="20"/>
    </w:rPr>
  </w:style>
  <w:style w:type="character" w:customStyle="1" w:styleId="ThnvnbnThtl2Char">
    <w:name w:val="Thân văn bản Thụt lề 2 Char"/>
    <w:basedOn w:val="Phngmcnhcaonvn"/>
    <w:link w:val="ThnvnbnThtl2"/>
    <w:rsid w:val="00D9152F"/>
    <w:rPr>
      <w:rFonts w:ascii="Arial" w:eastAsia="Times New Roman" w:hAnsi="Arial" w:cs="Arial"/>
      <w:b/>
      <w:bCs/>
      <w:sz w:val="20"/>
      <w:szCs w:val="20"/>
    </w:rPr>
  </w:style>
  <w:style w:type="paragraph" w:styleId="Thnvnbn2">
    <w:name w:val="Body Text 2"/>
    <w:basedOn w:val="Chun"/>
    <w:link w:val="Thnvnbn2Char"/>
    <w:rsid w:val="00D9152F"/>
    <w:pPr>
      <w:widowControl w:val="0"/>
      <w:spacing w:line="320" w:lineRule="exact"/>
      <w:jc w:val="center"/>
    </w:pPr>
    <w:rPr>
      <w:rFonts w:ascii="Arial" w:hAnsi="Arial" w:cs="Arial"/>
      <w:b/>
      <w:bCs/>
      <w:i/>
      <w:iCs/>
      <w:sz w:val="20"/>
      <w:szCs w:val="20"/>
    </w:rPr>
  </w:style>
  <w:style w:type="character" w:customStyle="1" w:styleId="Thnvnbn2Char">
    <w:name w:val="Thân vãn bản 2 Char"/>
    <w:basedOn w:val="Phngmcnhcaonvn"/>
    <w:link w:val="Thnvnbn2"/>
    <w:rsid w:val="00D9152F"/>
    <w:rPr>
      <w:rFonts w:ascii="Arial" w:eastAsia="Times New Roman" w:hAnsi="Arial" w:cs="Arial"/>
      <w:b/>
      <w:bCs/>
      <w:i/>
      <w:iCs/>
      <w:sz w:val="20"/>
      <w:szCs w:val="20"/>
    </w:rPr>
  </w:style>
  <w:style w:type="paragraph" w:styleId="ThnvnbnThtl3">
    <w:name w:val="Body Text Indent 3"/>
    <w:basedOn w:val="Chun"/>
    <w:link w:val="ThnvnbnThtl3Char"/>
    <w:rsid w:val="00D9152F"/>
    <w:pPr>
      <w:widowControl w:val="0"/>
      <w:spacing w:line="320" w:lineRule="exact"/>
      <w:ind w:firstLine="567"/>
      <w:jc w:val="both"/>
    </w:pPr>
    <w:rPr>
      <w:rFonts w:ascii="Arial" w:hAnsi="Arial" w:cs="Arial"/>
      <w:b/>
      <w:bCs/>
      <w:sz w:val="20"/>
      <w:szCs w:val="20"/>
    </w:rPr>
  </w:style>
  <w:style w:type="character" w:customStyle="1" w:styleId="ThnvnbnThtl3Char">
    <w:name w:val="Thân văn bản Thụt lề 3 Char"/>
    <w:basedOn w:val="Phngmcnhcaonvn"/>
    <w:link w:val="ThnvnbnThtl3"/>
    <w:rsid w:val="00D9152F"/>
    <w:rPr>
      <w:rFonts w:ascii="Arial" w:eastAsia="Times New Roman" w:hAnsi="Arial" w:cs="Arial"/>
      <w:b/>
      <w:bCs/>
      <w:sz w:val="20"/>
      <w:szCs w:val="20"/>
    </w:rPr>
  </w:style>
  <w:style w:type="paragraph" w:styleId="utrang">
    <w:name w:val="header"/>
    <w:basedOn w:val="Chun"/>
    <w:link w:val="utrangChar"/>
    <w:rsid w:val="00D9152F"/>
    <w:pPr>
      <w:tabs>
        <w:tab w:val="center" w:pos="4320"/>
        <w:tab w:val="right" w:pos="8640"/>
      </w:tabs>
    </w:pPr>
  </w:style>
  <w:style w:type="character" w:customStyle="1" w:styleId="utrangChar">
    <w:name w:val="Đầu trang Char"/>
    <w:basedOn w:val="Phngmcnhcaonvn"/>
    <w:link w:val="utrang"/>
    <w:rsid w:val="00D9152F"/>
    <w:rPr>
      <w:rFonts w:eastAsia="Times New Roman" w:cs="Times New Roman"/>
      <w:sz w:val="24"/>
      <w:szCs w:val="24"/>
    </w:rPr>
  </w:style>
  <w:style w:type="paragraph" w:styleId="Chntrang">
    <w:name w:val="footer"/>
    <w:basedOn w:val="Chun"/>
    <w:link w:val="ChntrangChar"/>
    <w:uiPriority w:val="99"/>
    <w:rsid w:val="00D9152F"/>
    <w:pPr>
      <w:tabs>
        <w:tab w:val="center" w:pos="4320"/>
        <w:tab w:val="right" w:pos="8640"/>
      </w:tabs>
    </w:pPr>
  </w:style>
  <w:style w:type="character" w:customStyle="1" w:styleId="ChntrangChar">
    <w:name w:val="Chân trang Char"/>
    <w:basedOn w:val="Phngmcnhcaonvn"/>
    <w:link w:val="Chntrang"/>
    <w:uiPriority w:val="99"/>
    <w:rsid w:val="00D9152F"/>
    <w:rPr>
      <w:rFonts w:eastAsia="Times New Roman" w:cs="Times New Roman"/>
      <w:sz w:val="24"/>
      <w:szCs w:val="24"/>
    </w:rPr>
  </w:style>
  <w:style w:type="paragraph" w:styleId="Bngchthch">
    <w:name w:val="Balloon Text"/>
    <w:basedOn w:val="Chun"/>
    <w:link w:val="BngchthchChar"/>
    <w:semiHidden/>
    <w:rsid w:val="00D9152F"/>
    <w:rPr>
      <w:rFonts w:ascii="Tahoma" w:hAnsi="Tahoma" w:cs="Tahoma"/>
      <w:sz w:val="16"/>
      <w:szCs w:val="16"/>
    </w:rPr>
  </w:style>
  <w:style w:type="character" w:customStyle="1" w:styleId="BngchthchChar">
    <w:name w:val="Bóng chú thích Char"/>
    <w:basedOn w:val="Phngmcnhcaonvn"/>
    <w:link w:val="Bngchthch"/>
    <w:semiHidden/>
    <w:rsid w:val="00D9152F"/>
    <w:rPr>
      <w:rFonts w:ascii="Tahoma" w:eastAsia="Times New Roman" w:hAnsi="Tahoma" w:cs="Tahoma"/>
      <w:sz w:val="16"/>
      <w:szCs w:val="16"/>
    </w:rPr>
  </w:style>
  <w:style w:type="character" w:customStyle="1" w:styleId="mc6Char">
    <w:name w:val="Đề mục 6 Char"/>
    <w:basedOn w:val="Phngmcnhcaonvn"/>
    <w:link w:val="mc6"/>
    <w:rsid w:val="00D9152F"/>
    <w:rPr>
      <w:rFonts w:ascii="Calibri" w:eastAsia="Times New Roman" w:hAnsi="Calibri" w:cs="Times New Roman"/>
      <w:b/>
      <w:bCs/>
      <w:sz w:val="22"/>
    </w:rPr>
  </w:style>
  <w:style w:type="character" w:styleId="Siunikt">
    <w:name w:val="Hyperlink"/>
    <w:basedOn w:val="Phngmcnhcaonvn"/>
    <w:rsid w:val="00D9152F"/>
    <w:rPr>
      <w:color w:val="000080"/>
      <w:u w:val="single"/>
    </w:rPr>
  </w:style>
  <w:style w:type="character" w:customStyle="1" w:styleId="apple-converted-space">
    <w:name w:val="apple-converted-space"/>
    <w:basedOn w:val="Phngmcnhcaonvn"/>
    <w:rsid w:val="00CD4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CD40D0"/>
  </w:style>
</w:styles>
</file>

<file path=word/webSettings.xml><?xml version="1.0" encoding="utf-8"?>
<w:webSettings xmlns:r="http://schemas.openxmlformats.org/officeDocument/2006/relationships" xmlns:w="http://schemas.openxmlformats.org/wordprocessingml/2006/main">
  <w:divs>
    <w:div w:id="843085349">
      <w:bodyDiv w:val="1"/>
      <w:marLeft w:val="0"/>
      <w:marRight w:val="0"/>
      <w:marTop w:val="0"/>
      <w:marBottom w:val="0"/>
      <w:divBdr>
        <w:top w:val="none" w:sz="0" w:space="0" w:color="auto"/>
        <w:left w:val="none" w:sz="0" w:space="0" w:color="auto"/>
        <w:bottom w:val="none" w:sz="0" w:space="0" w:color="auto"/>
        <w:right w:val="none" w:sz="0" w:space="0" w:color="auto"/>
      </w:divBdr>
      <w:divsChild>
        <w:div w:id="115681814">
          <w:marLeft w:val="0"/>
          <w:marRight w:val="0"/>
          <w:marTop w:val="0"/>
          <w:marBottom w:val="0"/>
          <w:divBdr>
            <w:top w:val="none" w:sz="0" w:space="0" w:color="auto"/>
            <w:left w:val="none" w:sz="0" w:space="0" w:color="auto"/>
            <w:bottom w:val="none" w:sz="0" w:space="0" w:color="auto"/>
            <w:right w:val="none" w:sz="0" w:space="0" w:color="auto"/>
          </w:divBdr>
        </w:div>
        <w:div w:id="269356230">
          <w:marLeft w:val="0"/>
          <w:marRight w:val="0"/>
          <w:marTop w:val="0"/>
          <w:marBottom w:val="0"/>
          <w:divBdr>
            <w:top w:val="none" w:sz="0" w:space="0" w:color="auto"/>
            <w:left w:val="none" w:sz="0" w:space="0" w:color="auto"/>
            <w:bottom w:val="none" w:sz="0" w:space="0" w:color="auto"/>
            <w:right w:val="none" w:sz="0" w:space="0" w:color="auto"/>
          </w:divBdr>
        </w:div>
        <w:div w:id="372121556">
          <w:marLeft w:val="0"/>
          <w:marRight w:val="0"/>
          <w:marTop w:val="0"/>
          <w:marBottom w:val="0"/>
          <w:divBdr>
            <w:top w:val="none" w:sz="0" w:space="0" w:color="auto"/>
            <w:left w:val="none" w:sz="0" w:space="0" w:color="auto"/>
            <w:bottom w:val="none" w:sz="0" w:space="0" w:color="auto"/>
            <w:right w:val="none" w:sz="0" w:space="0" w:color="auto"/>
          </w:divBdr>
        </w:div>
        <w:div w:id="695691822">
          <w:marLeft w:val="0"/>
          <w:marRight w:val="0"/>
          <w:marTop w:val="0"/>
          <w:marBottom w:val="0"/>
          <w:divBdr>
            <w:top w:val="none" w:sz="0" w:space="0" w:color="auto"/>
            <w:left w:val="none" w:sz="0" w:space="0" w:color="auto"/>
            <w:bottom w:val="none" w:sz="0" w:space="0" w:color="auto"/>
            <w:right w:val="none" w:sz="0" w:space="0" w:color="auto"/>
          </w:divBdr>
        </w:div>
      </w:divsChild>
    </w:div>
    <w:div w:id="198792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Black Ghost</cp:lastModifiedBy>
  <cp:revision>3</cp:revision>
  <dcterms:created xsi:type="dcterms:W3CDTF">2014-12-08T06:40:00Z</dcterms:created>
  <dcterms:modified xsi:type="dcterms:W3CDTF">2015-08-21T12:27:00Z</dcterms:modified>
</cp:coreProperties>
</file>