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000" w:type="pct"/>
        <w:tblCellSpacing w:w="30" w:type="dxa"/>
        <w:shd w:val="clear" w:color="auto" w:fill="FFFFFF"/>
        <w:tblCellMar>
          <w:left w:w="0" w:type="dxa"/>
          <w:right w:w="0" w:type="dxa"/>
        </w:tblCellMar>
        <w:tblLook w:val="04A0" w:firstRow="1" w:lastRow="0" w:firstColumn="1" w:lastColumn="0" w:noHBand="0" w:noVBand="1"/>
      </w:tblPr>
      <w:tblGrid>
        <w:gridCol w:w="3228"/>
        <w:gridCol w:w="6468"/>
      </w:tblGrid>
      <w:tr w:rsidR="00006A50" w:rsidRPr="00006A50" w:rsidTr="00006A50">
        <w:trPr>
          <w:tblCellSpacing w:w="30" w:type="dxa"/>
        </w:trPr>
        <w:tc>
          <w:tcPr>
            <w:tcW w:w="1600" w:type="pct"/>
            <w:shd w:val="clear" w:color="auto" w:fill="FFFFFF"/>
            <w:tcMar>
              <w:top w:w="57" w:type="dxa"/>
              <w:left w:w="108" w:type="dxa"/>
              <w:bottom w:w="57" w:type="dxa"/>
              <w:right w:w="108" w:type="dxa"/>
            </w:tcMar>
            <w:hideMark/>
          </w:tcPr>
          <w:p w:rsidR="00006A50" w:rsidRPr="00006A50" w:rsidRDefault="00006A50" w:rsidP="00006A50">
            <w:pPr>
              <w:spacing w:after="120" w:line="260" w:lineRule="atLeast"/>
              <w:jc w:val="center"/>
              <w:rPr>
                <w:rFonts w:eastAsia="Times New Roman" w:cs="Times New Roman"/>
                <w:color w:val="000000"/>
                <w:sz w:val="24"/>
                <w:szCs w:val="24"/>
              </w:rPr>
            </w:pPr>
            <w:r w:rsidRPr="00006A50">
              <w:rPr>
                <w:rFonts w:eastAsia="Times New Roman" w:cs="Times New Roman"/>
                <w:b/>
                <w:bCs/>
                <w:color w:val="000000"/>
                <w:sz w:val="24"/>
                <w:szCs w:val="24"/>
              </w:rPr>
              <w:t>CHÍNH PHỦ</w:t>
            </w:r>
            <w:r w:rsidRPr="00006A50">
              <w:rPr>
                <w:rFonts w:eastAsia="Times New Roman" w:cs="Times New Roman"/>
                <w:b/>
                <w:bCs/>
                <w:color w:val="000000"/>
                <w:sz w:val="24"/>
                <w:szCs w:val="24"/>
              </w:rPr>
              <w:br/>
              <w:t>********</w:t>
            </w:r>
          </w:p>
        </w:tc>
        <w:tc>
          <w:tcPr>
            <w:tcW w:w="3250" w:type="pct"/>
            <w:shd w:val="clear" w:color="auto" w:fill="FFFFFF"/>
            <w:tcMar>
              <w:top w:w="57" w:type="dxa"/>
              <w:left w:w="108" w:type="dxa"/>
              <w:bottom w:w="57" w:type="dxa"/>
              <w:right w:w="108" w:type="dxa"/>
            </w:tcMar>
            <w:hideMark/>
          </w:tcPr>
          <w:p w:rsidR="00006A50" w:rsidRPr="00006A50" w:rsidRDefault="00006A50" w:rsidP="00006A50">
            <w:pPr>
              <w:spacing w:after="120" w:line="260" w:lineRule="atLeast"/>
              <w:jc w:val="center"/>
              <w:rPr>
                <w:rFonts w:eastAsia="Times New Roman" w:cs="Times New Roman"/>
                <w:color w:val="000000"/>
                <w:sz w:val="24"/>
                <w:szCs w:val="24"/>
              </w:rPr>
            </w:pPr>
            <w:r w:rsidRPr="00006A50">
              <w:rPr>
                <w:rFonts w:eastAsia="Times New Roman" w:cs="Times New Roman"/>
                <w:b/>
                <w:bCs/>
                <w:color w:val="000000"/>
                <w:sz w:val="24"/>
                <w:szCs w:val="24"/>
              </w:rPr>
              <w:t>CỘNG HOÀ XÃ HỘI CHỦ NGHĨA VIỆT NAM</w:t>
            </w:r>
            <w:r w:rsidRPr="00006A50">
              <w:rPr>
                <w:rFonts w:eastAsia="Times New Roman" w:cs="Times New Roman"/>
                <w:b/>
                <w:bCs/>
                <w:color w:val="000000"/>
                <w:sz w:val="24"/>
                <w:szCs w:val="24"/>
              </w:rPr>
              <w:br/>
              <w:t>Độc lập - Tự do - Hạnh phúc</w:t>
            </w:r>
            <w:r w:rsidRPr="00006A50">
              <w:rPr>
                <w:rFonts w:eastAsia="Times New Roman" w:cs="Times New Roman"/>
                <w:b/>
                <w:bCs/>
                <w:color w:val="000000"/>
                <w:sz w:val="24"/>
                <w:szCs w:val="24"/>
              </w:rPr>
              <w:br/>
              <w:t>********</w:t>
            </w:r>
          </w:p>
        </w:tc>
      </w:tr>
      <w:tr w:rsidR="00006A50" w:rsidRPr="00006A50" w:rsidTr="00006A50">
        <w:trPr>
          <w:tblCellSpacing w:w="30" w:type="dxa"/>
        </w:trPr>
        <w:tc>
          <w:tcPr>
            <w:tcW w:w="1600" w:type="pct"/>
            <w:shd w:val="clear" w:color="auto" w:fill="FFFFFF"/>
            <w:tcMar>
              <w:top w:w="57" w:type="dxa"/>
              <w:left w:w="108" w:type="dxa"/>
              <w:bottom w:w="57" w:type="dxa"/>
              <w:right w:w="108" w:type="dxa"/>
            </w:tcMar>
            <w:hideMark/>
          </w:tcPr>
          <w:p w:rsidR="00006A50" w:rsidRPr="00006A50" w:rsidRDefault="00006A50" w:rsidP="00006A50">
            <w:pPr>
              <w:spacing w:after="120" w:line="260" w:lineRule="atLeast"/>
              <w:jc w:val="center"/>
              <w:rPr>
                <w:rFonts w:eastAsia="Times New Roman" w:cs="Times New Roman"/>
                <w:color w:val="000000"/>
                <w:sz w:val="24"/>
                <w:szCs w:val="24"/>
              </w:rPr>
            </w:pPr>
            <w:r w:rsidRPr="00006A50">
              <w:rPr>
                <w:rFonts w:eastAsia="Times New Roman" w:cs="Times New Roman"/>
                <w:color w:val="000000"/>
                <w:sz w:val="24"/>
                <w:szCs w:val="24"/>
              </w:rPr>
              <w:t>Số: 120/2005/NĐ-CP</w:t>
            </w:r>
          </w:p>
        </w:tc>
        <w:tc>
          <w:tcPr>
            <w:tcW w:w="3250" w:type="pct"/>
            <w:shd w:val="clear" w:color="auto" w:fill="FFFFFF"/>
            <w:tcMar>
              <w:top w:w="57" w:type="dxa"/>
              <w:left w:w="108" w:type="dxa"/>
              <w:bottom w:w="57" w:type="dxa"/>
              <w:right w:w="108" w:type="dxa"/>
            </w:tcMar>
            <w:hideMark/>
          </w:tcPr>
          <w:p w:rsidR="00006A50" w:rsidRPr="00006A50" w:rsidRDefault="00006A50" w:rsidP="00006A50">
            <w:pPr>
              <w:spacing w:after="120" w:line="260" w:lineRule="atLeast"/>
              <w:jc w:val="right"/>
              <w:rPr>
                <w:rFonts w:eastAsia="Times New Roman" w:cs="Times New Roman"/>
                <w:color w:val="000000"/>
                <w:sz w:val="24"/>
                <w:szCs w:val="24"/>
              </w:rPr>
            </w:pPr>
            <w:r w:rsidRPr="00006A50">
              <w:rPr>
                <w:rFonts w:eastAsia="Times New Roman" w:cs="Times New Roman"/>
                <w:i/>
                <w:iCs/>
                <w:color w:val="000000"/>
                <w:sz w:val="24"/>
                <w:szCs w:val="24"/>
              </w:rPr>
              <w:t>Hà Nội, ngày 30 tháng 9 năm 2005</w:t>
            </w:r>
          </w:p>
        </w:tc>
      </w:tr>
    </w:tbl>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 </w:t>
      </w:r>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r w:rsidRPr="00006A50">
        <w:rPr>
          <w:rFonts w:eastAsia="Times New Roman" w:cs="Times New Roman"/>
          <w:b/>
          <w:bCs/>
          <w:color w:val="000000"/>
          <w:sz w:val="24"/>
          <w:szCs w:val="24"/>
        </w:rPr>
        <w:t>NGHỊ ĐỊNH</w:t>
      </w:r>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r w:rsidRPr="00006A50">
        <w:rPr>
          <w:rFonts w:eastAsia="Times New Roman" w:cs="Times New Roman"/>
          <w:color w:val="000000"/>
          <w:sz w:val="24"/>
          <w:szCs w:val="24"/>
        </w:rPr>
        <w:t>CỦA CHÍNH PHỦ SỐ 120/2005/NĐ-CP NGÀY 30 THÁNG 9 NĂM 2005 QUY ĐỊNH VỀ XỬ LÝ VI PHẠM PHÁP LUẬT TRONG LĨNH VỰC CẠNH TRANH</w:t>
      </w:r>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r w:rsidRPr="00006A50">
        <w:rPr>
          <w:rFonts w:eastAsia="Times New Roman" w:cs="Times New Roman"/>
          <w:b/>
          <w:bCs/>
          <w:color w:val="000000"/>
          <w:sz w:val="24"/>
          <w:szCs w:val="24"/>
        </w:rPr>
        <w:t>CHÍNH PHỦ</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i/>
          <w:iCs/>
          <w:color w:val="000000"/>
          <w:sz w:val="24"/>
          <w:szCs w:val="24"/>
        </w:rPr>
        <w:t>Căn cứ Luật Tổ chức Chính phủ ngày 25 tháng 12 năm 2001;</w:t>
      </w:r>
      <w:r w:rsidRPr="00006A50">
        <w:rPr>
          <w:rFonts w:eastAsia="Times New Roman" w:cs="Times New Roman"/>
          <w:i/>
          <w:iCs/>
          <w:color w:val="000000"/>
          <w:sz w:val="24"/>
          <w:szCs w:val="24"/>
        </w:rPr>
        <w:br/>
        <w:t>Căn cứ Luật Cạnh tranh ngày 03 tháng 12 năm 2004;</w:t>
      </w:r>
      <w:r w:rsidRPr="00006A50">
        <w:rPr>
          <w:rFonts w:eastAsia="Times New Roman" w:cs="Times New Roman"/>
          <w:i/>
          <w:iCs/>
          <w:color w:val="000000"/>
          <w:sz w:val="24"/>
          <w:szCs w:val="24"/>
        </w:rPr>
        <w:br/>
        <w:t>Căn cứ Pháp lệnh Xử lý vi phạm hành chính ngày 02 tháng 07 năm 2002;</w:t>
      </w:r>
      <w:r w:rsidRPr="00006A50">
        <w:rPr>
          <w:rFonts w:eastAsia="Times New Roman" w:cs="Times New Roman"/>
          <w:i/>
          <w:iCs/>
          <w:color w:val="000000"/>
          <w:sz w:val="24"/>
          <w:szCs w:val="24"/>
        </w:rPr>
        <w:br/>
        <w:t>Theo đề nghị của Bộ trưởng Bộ Thương mại,</w:t>
      </w:r>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bookmarkStart w:id="0" w:name="_Toc98214266"/>
      <w:bookmarkEnd w:id="0"/>
      <w:r w:rsidRPr="00006A50">
        <w:rPr>
          <w:rFonts w:eastAsia="Times New Roman" w:cs="Times New Roman"/>
          <w:b/>
          <w:bCs/>
          <w:color w:val="000000"/>
          <w:sz w:val="24"/>
          <w:szCs w:val="24"/>
        </w:rPr>
        <w:t>NGHỊ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 w:name="chuong_1"/>
      <w:r w:rsidRPr="00006A50">
        <w:rPr>
          <w:rFonts w:eastAsia="Times New Roman" w:cs="Times New Roman"/>
          <w:b/>
          <w:bCs/>
          <w:color w:val="000000"/>
          <w:sz w:val="24"/>
          <w:szCs w:val="24"/>
        </w:rPr>
        <w:t>Chương 1:</w:t>
      </w:r>
      <w:bookmarkEnd w:id="1"/>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bookmarkStart w:id="2" w:name="chuong_1_name"/>
      <w:r w:rsidRPr="00006A50">
        <w:rPr>
          <w:rFonts w:eastAsia="Times New Roman" w:cs="Times New Roman"/>
          <w:b/>
          <w:bCs/>
          <w:color w:val="000000"/>
          <w:sz w:val="24"/>
          <w:szCs w:val="24"/>
        </w:rPr>
        <w:t>NHỮNG QUY ĐỊNH CHUNG</w:t>
      </w:r>
      <w:bookmarkStart w:id="3" w:name="_Toc98214268"/>
      <w:bookmarkEnd w:id="2"/>
      <w:bookmarkEnd w:id="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 w:name="dieu_1"/>
      <w:r w:rsidRPr="00006A50">
        <w:rPr>
          <w:rFonts w:eastAsia="Times New Roman" w:cs="Times New Roman"/>
          <w:b/>
          <w:bCs/>
          <w:color w:val="000000"/>
          <w:sz w:val="24"/>
          <w:szCs w:val="24"/>
        </w:rPr>
        <w:t>Điều 1.</w:t>
      </w:r>
      <w:r w:rsidRPr="00006A50">
        <w:rPr>
          <w:rFonts w:eastAsia="Times New Roman" w:cs="Times New Roman"/>
          <w:color w:val="000000"/>
          <w:sz w:val="24"/>
          <w:szCs w:val="24"/>
        </w:rPr>
        <w:t> Phạm vi điều chỉnh</w:t>
      </w:r>
      <w:bookmarkEnd w:id="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Nghị định này quy định việc xử lý đối với các tổ chức, cá nhân có hành vi cố ý hoặc vô ý vi phạm các quy định pháp luật về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Hành vi vi phạm pháp luật về cạnh tranh theo quy định của Nghị định này bao gồm: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Hành vi vi phạm quy định về kiểm soát hành vi hạn chế cạnh tranh, bao gồm hành vi vi phạm quy định về thoả thuận hạn chế cạnh tranh, lạm dụng vị trí thống lĩnh thị trường, lạm dụng vị trí độc quyền và tập trung kinh tế;</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Hành vi vi phạm quy định về cạnh tranh không lành mạnh;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Hành vi vi phạm quy định pháp luật về cạnh tranh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 w:name="dieu_2"/>
      <w:r w:rsidRPr="00006A50">
        <w:rPr>
          <w:rFonts w:eastAsia="Times New Roman" w:cs="Times New Roman"/>
          <w:b/>
          <w:bCs/>
          <w:color w:val="000000"/>
          <w:sz w:val="24"/>
          <w:szCs w:val="24"/>
        </w:rPr>
        <w:t>Điều 2.</w:t>
      </w:r>
      <w:r w:rsidRPr="00006A50">
        <w:rPr>
          <w:rFonts w:eastAsia="Times New Roman" w:cs="Times New Roman"/>
          <w:color w:val="000000"/>
          <w:sz w:val="24"/>
          <w:szCs w:val="24"/>
        </w:rPr>
        <w:t> Đối tượng áp dụng</w:t>
      </w:r>
      <w:bookmarkEnd w:id="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Nghị định này áp dụng đối với các tổ chức, cá nhân sau:</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 w:name="_GoBack"/>
      <w:r w:rsidRPr="00006A50">
        <w:rPr>
          <w:rFonts w:eastAsia="Times New Roman" w:cs="Times New Roman"/>
          <w:color w:val="000000"/>
          <w:sz w:val="24"/>
          <w:szCs w:val="24"/>
        </w:rPr>
        <w:t>1</w:t>
      </w:r>
      <w:bookmarkEnd w:id="6"/>
      <w:r w:rsidRPr="00006A50">
        <w:rPr>
          <w:rFonts w:eastAsia="Times New Roman" w:cs="Times New Roman"/>
          <w:color w:val="000000"/>
          <w:sz w:val="24"/>
          <w:szCs w:val="24"/>
        </w:rPr>
        <w:t>. Tổ chức, cá nhân kinh doanh (sau đây gọi là doanh nghiệp) và hiệp hội ngành nghề hoạt động ở Việt Nam (sau đây gọi là hiệp hội) được quy định tại Điều 2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Tổ chức, cá nhân khác thực hiện các hành vi được quy định tại Mục 5 Chương II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 w:name="dieu_3"/>
      <w:r w:rsidRPr="00006A50">
        <w:rPr>
          <w:rFonts w:eastAsia="Times New Roman" w:cs="Times New Roman"/>
          <w:b/>
          <w:bCs/>
          <w:color w:val="000000"/>
          <w:sz w:val="24"/>
          <w:szCs w:val="24"/>
        </w:rPr>
        <w:lastRenderedPageBreak/>
        <w:t>Điều 3.</w:t>
      </w:r>
      <w:r w:rsidRPr="00006A50">
        <w:rPr>
          <w:rFonts w:eastAsia="Times New Roman" w:cs="Times New Roman"/>
          <w:color w:val="000000"/>
          <w:sz w:val="24"/>
          <w:szCs w:val="24"/>
        </w:rPr>
        <w:t> Nguyên tắc xử lý vi phạm pháp luật về cạnh tranh</w:t>
      </w:r>
      <w:bookmarkEnd w:id="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Việc xử lý hành vi vi phạm quy định về kiểm soát hành vi hạn chế cạnh tranh phải tuân theo các nguyên tắc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Mọi hành vi vi phạm phải được phát hiện kịp thời. Việc xử lý hành vi vi phạm phải được tiến hành nhanh chóng, công minh, triệt để; mọi hậu quả do hành vi vi phạm gây ra phải được khắc phục theo đúng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Việc xử lý hành vi vi phạm phải tuân theo các trình tự, thủ tục trong tố tụng cạnh tranh được quy định tại chương III của Nghị định số 116/2005/NĐ-CP ngày 15 tháng 9 năm 2005 của Chính phủ quy định chi tiết thi hành một số điều của Luật Cạnh tranh và các quy định tại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Việc xử lý hành vi vi phạm phải do người có thẩm quyền tiến hành theo đúng thẩm quyền do pháp luật quy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Một hành vi vi phạm pháp luật về cạnh tranh chỉ bị xử lý một lần; một doanh nghiệp thực hiện nhiều hành vi vi phạm thì bị xử lý đối với từng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Không tiến hành xử lý hành vi vi phạm theo quy định của Nghị định này đối với những hành vi vi phạm có dấu hiệu tội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Việc xử lý hành vi vi phạm quy định về cạnh tranh không lành mạnh phải tuân theo các nguyên tắc quy định tại khoản 1 Điều này và Điều 3 của Pháp lệnh Xử lý vi phạm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Việc xử lý hành vi vi phạm quy định pháp luật về cạnh tranh khác phải tuân theo các nguyên tắc được quy định tại Điều 3 của Pháp lệnh Xử lý vi phạm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 </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8" w:name="dieu_4"/>
      <w:r w:rsidRPr="00006A50">
        <w:rPr>
          <w:rFonts w:eastAsia="Times New Roman" w:cs="Times New Roman"/>
          <w:b/>
          <w:bCs/>
          <w:color w:val="000000"/>
          <w:sz w:val="24"/>
          <w:szCs w:val="24"/>
        </w:rPr>
        <w:t>Điều 4.</w:t>
      </w:r>
      <w:r w:rsidRPr="00006A50">
        <w:rPr>
          <w:rFonts w:eastAsia="Times New Roman" w:cs="Times New Roman"/>
          <w:color w:val="000000"/>
          <w:sz w:val="24"/>
          <w:szCs w:val="24"/>
        </w:rPr>
        <w:t> Các hình thức xử lý vi phạm pháp luật về cạnh tranh</w:t>
      </w:r>
      <w:bookmarkEnd w:id="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Hình thức xử lý vi phạm pháp luật về cạnh tranh bao gồm các hình thức xử phạt và các biện pháp khắc phục hậu quả.</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Đối với mỗi hành vi vi phạm pháp luật về cạnh tranh, tổ chức, cá nhân vi phạm phải chịu một trong các hình thức xử phạt chính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Phạt cảnh cáo;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Phạt tiền.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Tùy theo tính chất, mức độ vi phạm, tổ chức, cá nhân vi phạm pháp luật về cạnh tranh còn có thể bị áp dụng một hoặc một số hình thức xử phạt bổ sung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Thu hồi giấy chứng nhận đăng ký kinh doanh, tước quyền sử dụng giấy phép, chứng chỉ hành nghề;</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b) Tịch thu tang vật, phương tiện được sử dụng để thực hiện hành vi vi phạm pháp luật về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Ngoài các hình thức xử phạt quy định tại khoản 2 và 3 Điều này, doanh nghiệp vi phạm pháp luật về cạnh tranh còn có thể bị áp dụng một hoặc một số biện pháp khắc phục hậu quả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Buộc cơ cấu lại doanh nghiệp lạm dụng vị trí thống lĩnh thị trường;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chia, tách doanh nghiệp đã sáp nhập, hợp nhất; buộc bán lại phần doanh nghiệp đã mua;</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Buộc cải chính công khai;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Buộc loại bỏ những điều khoản vi phạm pháp luật ra khỏi hợp đồng hoặc giao dịch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Buộc sử dụng hoặc bán lại các sáng chế, giải pháp hữu ích, kiểu dáng công nghiệp đã mua nhưng không sử dụng;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Buộc loại bỏ những biện pháp ngăn cản, kìm hãm doanh nghiệp khác tham gia thị trường hoặc phát triển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 Buộc khôi phục các điều kiện phát triển kỹ thuật, công nghệ mà doanh nghiệp đã cản trở;</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 Buộc loại bỏ các điều kiện bất lợi đã áp đặt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i) Buộc khôi phục lại các điều khoản hợp đồng đã thay đổi mà không có lý do chính đáng;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k) Buộc khôi phục lại hợp đồng đã huỷ bỏ mà không có lý do chính đáng.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9" w:name="dieu_5"/>
      <w:r w:rsidRPr="00006A50">
        <w:rPr>
          <w:rFonts w:eastAsia="Times New Roman" w:cs="Times New Roman"/>
          <w:b/>
          <w:bCs/>
          <w:color w:val="000000"/>
          <w:sz w:val="24"/>
          <w:szCs w:val="24"/>
        </w:rPr>
        <w:t>Điều 5.</w:t>
      </w:r>
      <w:r w:rsidRPr="00006A50">
        <w:rPr>
          <w:rFonts w:eastAsia="Times New Roman" w:cs="Times New Roman"/>
          <w:color w:val="000000"/>
          <w:sz w:val="24"/>
          <w:szCs w:val="24"/>
        </w:rPr>
        <w:t> Mức phạt tiền đối với các hành vi vi phạm pháp luật về cạnh tranh</w:t>
      </w:r>
      <w:bookmarkEnd w:id="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Đối với hành vi vi phạm quy định về kiểm soát hành vi hạn chế cạnh tranh, cơ quan có thẩm quyền xử lý vi phạm có thể phạt tiền theo các mức cụ thể được quy định tại Mục 1, 2 và 3 Chương II của Nghị định này nhưng tối đa đến 10% tổng doanh thu của doanh nghiệp vi phạm trong năm tài chính trước năm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Trường hợp doanh nghiệp vi phạm mới thành lập và hoạt động chưa đủ một năm tài chính, tổng doanh thu trong năm tài chính trước năm thực hiện hành vi vi phạm quy định tại khoản này được xác định là tổng doanh thu của doanh nghiệp kể từ ngày thành lập cho đến ngày ra quyết định điều tra chính thức về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Đối với các hành vi vi phạm quy định về cạnh tranh không lành mạnh và hành vi vi phạm quy định pháp luật về cạnh tranh khác không thuộc trường hợp quy định tại khoản 1 Điều này, cơ quan có thẩm quyền tiến hành phạt tiền theo các mức cụ thể quy định tại Mục 4 và 5 Chương II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0" w:name="dieu_6"/>
      <w:r w:rsidRPr="00006A50">
        <w:rPr>
          <w:rFonts w:eastAsia="Times New Roman" w:cs="Times New Roman"/>
          <w:b/>
          <w:bCs/>
          <w:color w:val="000000"/>
          <w:sz w:val="24"/>
          <w:szCs w:val="24"/>
        </w:rPr>
        <w:t>Điều 6.</w:t>
      </w:r>
      <w:r w:rsidRPr="00006A50">
        <w:rPr>
          <w:rFonts w:eastAsia="Times New Roman" w:cs="Times New Roman"/>
          <w:color w:val="000000"/>
          <w:sz w:val="24"/>
          <w:szCs w:val="24"/>
        </w:rPr>
        <w:t> Bồi thường thiệt hại do hành vi vi phạm pháp luật về cạnh tranh gây ra</w:t>
      </w:r>
      <w:bookmarkEnd w:id="10"/>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Tổ chức, cá nhân có hành vi vi phạm pháp luật về cạnh tranh gây thiệt hại đến lợi ích của Nhà nước, quyền và lợi ích hợp pháp của tổ chức, cá nhân khác thì phải bồi thường.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2. Việc bồi thường thiệt hại quy định tại khoản 1 Điều này được thực hiện theo các quy định của pháp luật về dân sự.</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1" w:name="dieu_7"/>
      <w:r w:rsidRPr="00006A50">
        <w:rPr>
          <w:rFonts w:eastAsia="Times New Roman" w:cs="Times New Roman"/>
          <w:b/>
          <w:bCs/>
          <w:color w:val="000000"/>
          <w:sz w:val="24"/>
          <w:szCs w:val="24"/>
        </w:rPr>
        <w:t>Điều 7.</w:t>
      </w:r>
      <w:r w:rsidRPr="00006A50">
        <w:rPr>
          <w:rFonts w:eastAsia="Times New Roman" w:cs="Times New Roman"/>
          <w:color w:val="000000"/>
          <w:sz w:val="24"/>
          <w:szCs w:val="24"/>
        </w:rPr>
        <w:t> Căn cứ xác định mức độ xử lý đối với các hành vi vi phạm pháp luật về cạnh tranh</w:t>
      </w:r>
      <w:bookmarkEnd w:id="1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Khi xác định mức độ xử lý đối với từng hành vi vi phạm pháp luật về cạnh tranh, cơ quan có thẩm quyền có quyền căn cứ vào một hoặc một số yếu tố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Mức độ gây hạn chế cạnh tranh do hành vi vi phạm gây ra.</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Mức độ thiệt hại do hành vi vi phạm gây ra.</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Khả năng gây hạn chế cạnh tranh của các đối tượng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Thời gian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5.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6. Các tình tiết giảm nhẹ, tình tiết tăng nặng được quy định tại Điều 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2" w:name="dieu_8"/>
      <w:r w:rsidRPr="00006A50">
        <w:rPr>
          <w:rFonts w:eastAsia="Times New Roman" w:cs="Times New Roman"/>
          <w:b/>
          <w:bCs/>
          <w:color w:val="000000"/>
          <w:sz w:val="24"/>
          <w:szCs w:val="24"/>
        </w:rPr>
        <w:t>Điều 8.</w:t>
      </w:r>
      <w:r w:rsidRPr="00006A50">
        <w:rPr>
          <w:rFonts w:eastAsia="Times New Roman" w:cs="Times New Roman"/>
          <w:color w:val="000000"/>
          <w:sz w:val="24"/>
          <w:szCs w:val="24"/>
        </w:rPr>
        <w:t> Tình tiết giảm nhẹ, tình tiết tăng nặng</w:t>
      </w:r>
      <w:bookmarkEnd w:id="1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Đối với hành vi vi phạm quy định về kiểm soát hành vi hạn chế cạnh tranh và cạnh tranh không lành mạnh, cơ quan có thẩm quyền có thể áp dụng các tình tiết giảm nhẹ, tình tiết tăng nặng quy định tại mục 6 chương III của Nghị định số 116/2005/NĐ-CP ngày 15 tháng 9 năm 2005 của Chính phủ quy định chi tiết thi hành một số điều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Đối với các hành vi vi phạm quy định pháp luật về cạnh tranh khác, cơ quan có thẩm quyền có thể áp dụng các tình tiết giảm nhẹ, tình tiết tăng nặng được quy định tại Điều 8 và 9 của Pháp lệnh Xử lý vi phạm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3" w:name="dieu_9"/>
      <w:r w:rsidRPr="00006A50">
        <w:rPr>
          <w:rFonts w:eastAsia="Times New Roman" w:cs="Times New Roman"/>
          <w:b/>
          <w:bCs/>
          <w:color w:val="000000"/>
          <w:sz w:val="24"/>
          <w:szCs w:val="24"/>
        </w:rPr>
        <w:t>Điều 9.</w:t>
      </w:r>
      <w:r w:rsidRPr="00006A50">
        <w:rPr>
          <w:rFonts w:eastAsia="Times New Roman" w:cs="Times New Roman"/>
          <w:color w:val="000000"/>
          <w:sz w:val="24"/>
          <w:szCs w:val="24"/>
        </w:rPr>
        <w:t> Thời hiệu khiếu nại vụ việc cạnh tranh, thời hiệu ra quyết định điều tra trong trường hợp cơ quan quản lý cạnh tranh phát hiện hành vi có dấu hiệu vi phạm pháp luật về cạnh tranh</w:t>
      </w:r>
      <w:bookmarkEnd w:id="1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Thời hiệu khiếu nại vụ việc cạnh tranh, thời hiệu ra quyết định điều tra trong trường hợp cơ quan quản lý cạnh tranh phát hiện hành vi có dấu hiệu vi phạm pháp luật về cạnh tranh theo quy định tại khoản 2 Điều 65 của Luật Cạnh tranh là 2 năm kể từ ngày hành vi vi phạm được thực hiện.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Trong thời hạn được quy định tại khoản 1 Điều này mà tổ chức, cá nhân thực hiện hành vi vi phạm pháp luật về cạnh tranh mới hoặc cố tình trốn tránh, cản trở việc xử lý của cơ quan có thẩm quyền thì thời hiệu theo quy định tại khoản 1 Điều này được tính lại kể từ thời điểm thực hiện hành vi vi phạm pháp luật về cạnh tranh mới hoặc thời điểm chấm dứt hành vi trốn tránh, cản trở việc xử lý.</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4" w:name="chuong_2"/>
      <w:r w:rsidRPr="00006A50">
        <w:rPr>
          <w:rFonts w:eastAsia="Times New Roman" w:cs="Times New Roman"/>
          <w:b/>
          <w:bCs/>
          <w:color w:val="000000"/>
          <w:sz w:val="24"/>
          <w:szCs w:val="24"/>
        </w:rPr>
        <w:t>Chương 2:</w:t>
      </w:r>
      <w:bookmarkEnd w:id="14"/>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bookmarkStart w:id="15" w:name="chuong_2_name"/>
      <w:r w:rsidRPr="00006A50">
        <w:rPr>
          <w:rFonts w:eastAsia="Times New Roman" w:cs="Times New Roman"/>
          <w:b/>
          <w:bCs/>
          <w:color w:val="000000"/>
          <w:sz w:val="24"/>
          <w:szCs w:val="24"/>
        </w:rPr>
        <w:t>HÀNH VI VI PHẠM PHÁP LUẬT VỀ CẠNH TRANH, HÌNH THỨC VÀ MỨC ĐỘ XỬ LÝ</w:t>
      </w:r>
      <w:bookmarkEnd w:id="1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6" w:name="muc_1"/>
      <w:r w:rsidRPr="00006A50">
        <w:rPr>
          <w:rFonts w:eastAsia="Times New Roman" w:cs="Times New Roman"/>
          <w:b/>
          <w:bCs/>
          <w:color w:val="000000"/>
          <w:sz w:val="24"/>
          <w:szCs w:val="24"/>
        </w:rPr>
        <w:lastRenderedPageBreak/>
        <w:t>MỤC 1: HÀNH VI VI PHẠM QUY ĐỊNH VỀ THOẢ THUẬN HẠN CHẾ CẠNH TRANH</w:t>
      </w:r>
      <w:bookmarkEnd w:id="1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7" w:name="dieu_10"/>
      <w:r w:rsidRPr="00006A50">
        <w:rPr>
          <w:rFonts w:eastAsia="Times New Roman" w:cs="Times New Roman"/>
          <w:b/>
          <w:bCs/>
          <w:color w:val="000000"/>
          <w:sz w:val="24"/>
          <w:szCs w:val="24"/>
        </w:rPr>
        <w:t>Điều 10.</w:t>
      </w:r>
      <w:r w:rsidRPr="00006A50">
        <w:rPr>
          <w:rFonts w:eastAsia="Times New Roman" w:cs="Times New Roman"/>
          <w:color w:val="000000"/>
          <w:sz w:val="24"/>
          <w:szCs w:val="24"/>
        </w:rPr>
        <w:t> Hành vi thỏa thuận ấn định giá hàng hóa, dịch vụ một cách trực tiếp hoặc gián tiếp</w:t>
      </w:r>
      <w:bookmarkEnd w:id="1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Thoả thuận áp dụng thống nhất mức giá với một số hoặc tất cả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tăng giá hoặc giảm giá ở mức cụ thể;</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Thoả thuận áp dụng công thức tính giá chung;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Thoả thuận duy trì tỷ lệ cố định về giá của sản phẩm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Thoả thuận không chiết khấu giá hoặc áp dụng mức chiết khấu giá thống nhất;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Thoả thuận dành hạn mức tín dụng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 Thoả thuận không giảm giá nếu không thông báo cho các thành viên khác của thoả thuận;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 Thoả thuận sử dụng mức giá thống nhất tại thời điểm các cuộc đàm phán bắt đầu.</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Hàng hoá, dịch vụ liên quan là các mặt hàng lương thực, thực phẩm, trang thiết bị y tế, thuốc phòng và chữa bệnh cho người, thuốc thú y, phân bón, thức ăn chăn nuôi, thuốc bảo vệ thực vật, giống cây trồng, vật nuôi và các dịch vụ y tế, chăm sóc sức khoẻ;</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Doanh nghiệp vi phạm giữ vai trò tổ chức, lôi kéo các đối tượng khác tham gia vào thoả thuận.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Tịch thu tang vật, phương tiện được sử dụng để thực hiện hành vi vi phạm, bao gồm cả tịch thu toàn bộ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loại bỏ những điều khoản vi phạm pháp luật ra khỏi hợp đồng hoặc giao dịch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8" w:name="dieu_11"/>
      <w:r w:rsidRPr="00006A50">
        <w:rPr>
          <w:rFonts w:eastAsia="Times New Roman" w:cs="Times New Roman"/>
          <w:b/>
          <w:bCs/>
          <w:color w:val="000000"/>
          <w:sz w:val="24"/>
          <w:szCs w:val="24"/>
        </w:rPr>
        <w:t>Điều 11.</w:t>
      </w:r>
      <w:r w:rsidRPr="00006A50">
        <w:rPr>
          <w:rFonts w:eastAsia="Times New Roman" w:cs="Times New Roman"/>
          <w:color w:val="000000"/>
          <w:sz w:val="24"/>
          <w:szCs w:val="24"/>
        </w:rPr>
        <w:t> Hành vi thỏa thuận phân chia thị trường tiêu thụ, nguồn cung cấp hàng hóa, cung ứng dịch vụ</w:t>
      </w:r>
      <w:bookmarkEnd w:id="1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1. Phạt tiền đến 5%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Thỏa thuận về số lượng hoặc địa điểm mua, bán hàng hoá, dịch vụ hoặc nhóm khách hàng đối với mỗi bên tham gia thoả thuận;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mỗi bên tham gia thoả thuận chỉ được mua hàng hoá, dịch vụ từ một hoặc một số nguồn cung cấp nhất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quy định tại khoản 1 Điều này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19" w:name="dieu_12"/>
      <w:r w:rsidRPr="00006A50">
        <w:rPr>
          <w:rFonts w:eastAsia="Times New Roman" w:cs="Times New Roman"/>
          <w:b/>
          <w:bCs/>
          <w:color w:val="000000"/>
          <w:sz w:val="24"/>
          <w:szCs w:val="24"/>
        </w:rPr>
        <w:t>Điều 12.</w:t>
      </w:r>
      <w:r w:rsidRPr="00006A50">
        <w:rPr>
          <w:rFonts w:eastAsia="Times New Roman" w:cs="Times New Roman"/>
          <w:color w:val="000000"/>
          <w:sz w:val="24"/>
          <w:szCs w:val="24"/>
        </w:rPr>
        <w:t> Hành vi thoả thuận hạn chế hoặc kiểm soát số lượng, khối lượng sản xuất, mua, bán hàng hoá, dịch vụ</w:t>
      </w:r>
      <w:bookmarkEnd w:id="1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Thoả thuận cắt, giảm số lượng, khối lượng sản xuất, mua, bán hàng hoá, cung ứng dịch vụ trên thị trường liên quan so với trước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ấn định số lượng, khối lượng sản xuất, mua, bán hàng hoá, cung ứng dịch vụ ở mức đủ để tạo sự khan hiếm trên thị trường.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quy định tại khoản 1 Điều này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0" w:name="dieu_13"/>
      <w:r w:rsidRPr="00006A50">
        <w:rPr>
          <w:rFonts w:eastAsia="Times New Roman" w:cs="Times New Roman"/>
          <w:b/>
          <w:bCs/>
          <w:color w:val="000000"/>
          <w:sz w:val="24"/>
          <w:szCs w:val="24"/>
        </w:rPr>
        <w:t>Điều 13.</w:t>
      </w:r>
      <w:r w:rsidRPr="00006A50">
        <w:rPr>
          <w:rFonts w:eastAsia="Times New Roman" w:cs="Times New Roman"/>
          <w:color w:val="000000"/>
          <w:sz w:val="24"/>
          <w:szCs w:val="24"/>
        </w:rPr>
        <w:t> Hành vi thỏa thuận hạn chế phát triển kỹ thuật, công nghệ, hạn chế đầu tư</w:t>
      </w:r>
      <w:bookmarkEnd w:id="20"/>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a) Thoả thuận thống nhất mua sáng chế, giải pháp hữu ích, kiểu dáng công nghiệp để tiêu hủy hoặc không sử dụng;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không đưa thêm vốn để mở rộng sản xuất, cải tiến chất lượng hàng hóa, dịch vụ hoặc để mở rộng phát triển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có thị phần kết hợp trên thị trường liên quan từ 30% trở lên đối với một trong các hành vi quy định tại khoản 1 Điều này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1" w:name="dieu_14"/>
      <w:r w:rsidRPr="00006A50">
        <w:rPr>
          <w:rFonts w:eastAsia="Times New Roman" w:cs="Times New Roman"/>
          <w:b/>
          <w:bCs/>
          <w:color w:val="000000"/>
          <w:sz w:val="24"/>
          <w:szCs w:val="24"/>
        </w:rPr>
        <w:t>Điều 14.</w:t>
      </w:r>
      <w:r w:rsidRPr="00006A50">
        <w:rPr>
          <w:rFonts w:eastAsia="Times New Roman" w:cs="Times New Roman"/>
          <w:color w:val="000000"/>
          <w:sz w:val="24"/>
          <w:szCs w:val="24"/>
        </w:rPr>
        <w:t> Hành vi thỏa thuận áp đặt cho doanh nghiệp khác điều kiện ký kết hợp đồng mua, bán hàng hóa, dịch vụ hoặc buộc doanh nghiệp khác chấp nhận các nghĩa vụ không liên quan trực tiếp đến đối tượng của hợp đồng</w:t>
      </w:r>
      <w:bookmarkEnd w:id="2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có thị phần kết hợp trên thị trường liên quan từ 30% trở lên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Thoả thuận áp đặt cho doanh nghiệp khác điều kiện tiên quyết sau đây trước khi ký kết hợp đồng mua, bán hàng hoá, dịch vụ:</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sản xuất, phân phối hàng hoá khác; mua, cung ứng dịch vụ khác không liên quan trực tiếp đến cam kết của bên nhận đại lý theo quy định của pháp luật về đại lý;</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địa điểm bán lại hàng hoá, trừ những hàng hoá thuộc danh mục mặt hàng kinh doanh có điều kiện, mặt hàng hạn chế kinh doanh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khách hàng mua hàng hoá để bán lại, trừ những hàng hoá thuộc danh mục mặt hàng kinh doanh có điều kiện, mặt hàng hạn chế kinh doanh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hình thức, số lượng hàng hoá được cung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ràng buộc doanh nghiệp khác khi mua, bán hàng hoá, dịch vụ với bất kỳ doanh nghiệp nào tham gia thoả thuận phải mua hàng hoá, dịch vụ khác từ nhà cung cấp hoặc người được chỉ định trước hoặc thực hiện thêm một hoặc một số nghĩa vụ nằm ngoài phạm vi cần thiết để thực hiện hợp đồng.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có thị phần kết hợp từ 30% trở lên trên thị trường liên quan đối với một trong các hành vi quy định tại khoản 1 Điều này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2" w:name="dieu_15"/>
      <w:r w:rsidRPr="00006A50">
        <w:rPr>
          <w:rFonts w:eastAsia="Times New Roman" w:cs="Times New Roman"/>
          <w:b/>
          <w:bCs/>
          <w:color w:val="000000"/>
          <w:sz w:val="24"/>
          <w:szCs w:val="24"/>
        </w:rPr>
        <w:t>Điều 15.</w:t>
      </w:r>
      <w:r w:rsidRPr="00006A50">
        <w:rPr>
          <w:rFonts w:eastAsia="Times New Roman" w:cs="Times New Roman"/>
          <w:color w:val="000000"/>
          <w:sz w:val="24"/>
          <w:szCs w:val="24"/>
        </w:rPr>
        <w:t> Hành vi thỏa thuận ngăn cản, kìm hãm, không cho doanh nghiệp khác tham gia thị trường hoặc phát triển kinh doanh</w:t>
      </w:r>
      <w:bookmarkEnd w:id="2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Thoả thuận không giao dịch với doanh nghiệp không tham gia thoả thuận;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cùng yêu cầu, kêu gọi, dụ dỗ khách hàng của mình không mua, bán hàng hoá, không sử dụng dịch vụ của doanh nghiệp không tham gia thoả thuận;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Thoả thuận cùng mua, bán hàng hoá, dịch vụ với mức giá đủ để doanh nghiệp không tham gia thoả thuận không thể tham gia thị trường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Thoả thuận cùng yêu cầu, kêu gọi, dụ dỗ các nhà phân phối, nhà bán lẻ đang giao dịch với mình phân biệt đối xử khi mua, bán hàng hoá của doanh nghiệp không tham gia thoả thuận theo hướng gây khó khăn cho việc tiêu thụ hàng hoá của doanh nghiệp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Thoả thuận cùng mua, bán hàng hoá, dịch vụ với mức giá đủ để doanh nghiệp không tham gia thoả thuận không thể mở rộng thêm quy mô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đối với một trong các hành vi quy định tại khoản 1 Điều này nếu vi phạm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3" w:name="dieu_16"/>
      <w:r w:rsidRPr="00006A50">
        <w:rPr>
          <w:rFonts w:eastAsia="Times New Roman" w:cs="Times New Roman"/>
          <w:b/>
          <w:bCs/>
          <w:color w:val="000000"/>
          <w:sz w:val="24"/>
          <w:szCs w:val="24"/>
        </w:rPr>
        <w:t>Điều 16.</w:t>
      </w:r>
      <w:r w:rsidRPr="00006A50">
        <w:rPr>
          <w:rFonts w:eastAsia="Times New Roman" w:cs="Times New Roman"/>
          <w:color w:val="000000"/>
          <w:sz w:val="24"/>
          <w:szCs w:val="24"/>
        </w:rPr>
        <w:t> Hành vi thỏa thuận loại bỏ khỏi thị trường những doanh nghiệp không phải là các bên của thỏa thuận</w:t>
      </w:r>
      <w:bookmarkEnd w:id="2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Thoả thuận không giao dịch với doanh nghiệp không tham gia thoả thuận và cùng yêu cầu, kêu gọi, dụ dỗ khách hàng của mình không mua, bán hàng hoá, không sử dụng dịch vụ của doanh nghiệp không tham gia thỏa thuận;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không giao dịch với doanh nghiệp không tham gia thoả thuận và cùng mua, bán hàng hóa, dịch vụ với mức giá đủ để doanh nghiệp không tham gia thỏa thuận phải rút lui khỏi thị trường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2. Phạt tiền từ 5% đến 10% tổng doanh thu trong năm tài chính trước năm thực hiện hành vi vi phạm của từng doanh nghiệp là các bên tham gia thỏa thuận đối với một trong các hành vi quy định tại khoản 1 Điều này nếu vi phạm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4" w:name="dieu_17"/>
      <w:r w:rsidRPr="00006A50">
        <w:rPr>
          <w:rFonts w:eastAsia="Times New Roman" w:cs="Times New Roman"/>
          <w:b/>
          <w:bCs/>
          <w:color w:val="000000"/>
          <w:sz w:val="24"/>
          <w:szCs w:val="24"/>
        </w:rPr>
        <w:t>Điều 17.</w:t>
      </w:r>
      <w:r w:rsidRPr="00006A50">
        <w:rPr>
          <w:rFonts w:eastAsia="Times New Roman" w:cs="Times New Roman"/>
          <w:color w:val="000000"/>
          <w:sz w:val="24"/>
          <w:szCs w:val="24"/>
        </w:rPr>
        <w:t> Hành vi thông đồng để một hoặc các bên của thỏa thuận thắng thầu trong việc cung cấp hàng hóa, cung ứng dịch vụ</w:t>
      </w:r>
      <w:bookmarkEnd w:id="2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từng doanh nghiệp là các bên tham gia thỏa thuận đối với một trong các hành vi trong đấu thầu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Thoả thuận về việc một hoặc nhiều bên tham gia thoả thuận rút khỏi việc dự thầu hoặc rút đơn dự thầu được nộp trước đó để một hoặc các bên trong thoả thuận thắng thầu;</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Thoả thuận về việc một hoặc nhiều bên tham gia thoả thuận gây khó khăn cho các bên không tham gia thoả thuận khi dự thầu bằng cách từ chối cung cấp nguyên liệu, không ký hợp đồng thầu phụ hoặc các hình thức gây khó khăn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Thoả thuận về việc các bên tham gia thoả thuận thống nhất đưa ra những mức giá không có tính cạnh tranh hoặc đặt mức giá cạnh tranh nhưng kèm theo những điều kiện mà bên mời thầu không thể chấp nhận để xác định trước một hoặc nhiều bên sẽ thắng thầu;</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Thoả thuận về việc các bên tham gia thoả thuận xác định trước số lần mỗi bên được thắng thầu trong một khoảng thời gian nhất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từng doanh nghiệp là các bên tham gia thỏa thuận đối với một trong các hành vi quy định tại khoản 1 Điều này nếu vi phạm thuộc một trong các trường hợp quy định tại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5" w:name="muc_2"/>
      <w:r w:rsidRPr="00006A50">
        <w:rPr>
          <w:rFonts w:eastAsia="Times New Roman" w:cs="Times New Roman"/>
          <w:b/>
          <w:bCs/>
          <w:color w:val="000000"/>
          <w:sz w:val="24"/>
          <w:szCs w:val="24"/>
        </w:rPr>
        <w:t>MỤC 2: HÀNH VI VI PHẠM QUY ĐỊNH VỀ LẠM DỤNG VỊ TRÍ THỐNG LĨNH THỊ TRƯỜNG, LẠM DỤNG VỊ TRÍ ĐỘC QUYỀN</w:t>
      </w:r>
      <w:bookmarkEnd w:id="2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6" w:name="dieu_18"/>
      <w:r w:rsidRPr="00006A50">
        <w:rPr>
          <w:rFonts w:eastAsia="Times New Roman" w:cs="Times New Roman"/>
          <w:b/>
          <w:bCs/>
          <w:color w:val="000000"/>
          <w:sz w:val="24"/>
          <w:szCs w:val="24"/>
        </w:rPr>
        <w:t>Điều 18.</w:t>
      </w:r>
      <w:r w:rsidRPr="00006A50">
        <w:rPr>
          <w:rFonts w:eastAsia="Times New Roman" w:cs="Times New Roman"/>
          <w:color w:val="000000"/>
          <w:sz w:val="24"/>
          <w:szCs w:val="24"/>
        </w:rPr>
        <w:t> Hành vi bán hàng hoá, cung ứng dịch vụ dưới giá thành toàn bộ nhằm loại bỏ đối thủ cạnh tranh</w:t>
      </w:r>
      <w:bookmarkEnd w:id="2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 xml:space="preserve">1. Phạt tiền đến 5% tổng doanh thu trong năm tài chính trước năm thực hiện hành vi vi phạm của doanh nghiệp có vị trí thống lĩnh thị trường hoặc từng doanh nghiệp thuộc nhóm doanh nghiệp </w:t>
      </w:r>
      <w:r w:rsidRPr="00006A50">
        <w:rPr>
          <w:rFonts w:eastAsia="Times New Roman" w:cs="Times New Roman"/>
          <w:color w:val="000000"/>
          <w:sz w:val="24"/>
          <w:szCs w:val="24"/>
        </w:rPr>
        <w:lastRenderedPageBreak/>
        <w:t>có vị trí thống lĩnh thị trường đối với hành vi bán hàng hoá, cung ứng dịch vụ dưới giá thành toàn bộ nhằm loại bỏ đối thủ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có vị trí thống lĩnh thị trường đối với hành vi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Hàng hoá, dịch vụ liên quan là các mặt hàng quy định tại điểm a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Doanh nghiệp vi phạm có thị phần trên thị trường liên quan từ 50% trở lên.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Phạt tiền từ 5% đến 10% tổng doanh thu trong năm tài chính trước năm thực hiện hành vi vi phạm của doanh nghiệp thuộc nhóm doanh nghiệp có vị trí thống lĩnh thị trường đối với hành vi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Là doanh nghiệp có thị phần trên thị trường liên quan lớn nhất trong nhóm doanh nghiệp có vị trí thống lĩnh thị trường;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Là doanh nghiệp giữ vai trò tổ chức, lôi kéo các doanh nghiệp khác trong nhóm doanh nghiệp có vị trí thống lĩnh cùng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Ngoài việc bị phạt tiền theo quy định tại khoản 1, 2 và 3 Điều này, doanh nghiệp vi phạm các quy định về lạm dụng vị trí thống lĩnh thị trường có thể bị áp dụng một hoặc một số hình thức xử phạt bổ sung và biện pháp khắc phục hậu quả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Tịch thu tang vật, phương tiện được sử dụng để thực hiện hành vi vi phạm bao gồm cả tịch thu toàn bộ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loại bỏ những điều khoản vi phạm pháp luật ra khỏi hợp đồng hoặc giao dịch kinh doanh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Buộc cơ cấu lại doanh nghiệp có vị trí thống lĩnh thị trường.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7" w:name="dieu_19"/>
      <w:r w:rsidRPr="00006A50">
        <w:rPr>
          <w:rFonts w:eastAsia="Times New Roman" w:cs="Times New Roman"/>
          <w:b/>
          <w:bCs/>
          <w:color w:val="000000"/>
          <w:sz w:val="24"/>
          <w:szCs w:val="24"/>
        </w:rPr>
        <w:t>Điều 19.</w:t>
      </w:r>
      <w:r w:rsidRPr="00006A50">
        <w:rPr>
          <w:rFonts w:eastAsia="Times New Roman" w:cs="Times New Roman"/>
          <w:color w:val="000000"/>
          <w:sz w:val="24"/>
          <w:szCs w:val="24"/>
        </w:rPr>
        <w:t> Hành vi áp đặt giá mua, giá bán hàng hoá, dịch vụ bất hợp lý hoặc ấn định giá bán lại tối thiểu gây thiệt hại cho khách hàng</w:t>
      </w:r>
      <w:bookmarkEnd w:id="2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Áp đặt giá mua, giá bán hàng hoá, dịch vụ bất hợp lý gây thiệt hại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Ấn định giá bán lại tối thiểu gây thiệt hại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có vị trí thống lĩnh thị trường đối với hành vi quy định tại khoản 1 Điều này thuộc một trong các trường hợp quy định tại khoản 2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3. Phạt tiền từ 5% đến 10% tổng doanh thu trong năm tài chính trước năm thực hiện hành vi vi phạm của doanh nghiệp thuộc nhóm doanh nghiệp có vị trí thống lĩnh thị trường đối với hành vi quy định tại khoản 1 Điều này thuộc một trong các trường hợp quy định tại khoản 3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Ngoài việc bị phạt tiền theo quy định tại khoản 1, 2 và 3 Điều này, doanh nghiệp vi phạm các quy định về lạm dụng vị trí thống lĩnh thị trường có thể bị áp dụng một hoặc một số hình thức xử phạt bổ sung và biện pháp khắc phục hậu quả quy định tại khoản 4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8" w:name="dieu_20"/>
      <w:r w:rsidRPr="00006A50">
        <w:rPr>
          <w:rFonts w:eastAsia="Times New Roman" w:cs="Times New Roman"/>
          <w:b/>
          <w:bCs/>
          <w:color w:val="000000"/>
          <w:sz w:val="24"/>
          <w:szCs w:val="24"/>
        </w:rPr>
        <w:t>Điều 20.</w:t>
      </w:r>
      <w:r w:rsidRPr="00006A50">
        <w:rPr>
          <w:rFonts w:eastAsia="Times New Roman" w:cs="Times New Roman"/>
          <w:color w:val="000000"/>
          <w:sz w:val="24"/>
          <w:szCs w:val="24"/>
        </w:rPr>
        <w:t> Hành vi hạn chế sản xuất, phân phối hàng hoá, dịch vụ, giới hạn thị trường, cản trở sự phát triển kỹ thuật, công nghệ gây thiệt hại cho khách hàng</w:t>
      </w:r>
      <w:bookmarkEnd w:id="2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Cắt, giảm lượng cung ứng hàng hoá, dịch vụ trên thị trường liên quan so với lượng hàng hoá, dịch vụ cung ứng trước đó trong điều kiện không có biến động lớn về quan hệ cung cầu; không có khung hoảng kinh tế, thiên tai, địch hoạ; không có sự cố lớn về kỹ thuật hoặc không có tình trạng khẩn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Ấn định lượng cung ứng hàng hoá, dịch vụ ở mức đủ để tạo sự khan hiếm trên thị trường;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Găm hàng lại không bán để gây mất ổn định thị trường;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Chỉ cung ứng hàng hoá, dịch vụ trong một hoặc một số khu vực địa lý nhất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Chỉ mua hàng hoá, dịch vụ từ một hoặc một số nguồn cung nhất định trừ trường hợp các nguồn cung khác không đáp ứng được những điều kiện hợp lý và phù hợp với tập quán thương mại thông thường do bên mua đặt ra;</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Mua sáng chế, giải pháp hữu ích, kiểu dáng công nghiệp để tiêu huỷ hoặc không sử dụng;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 Đe doạ hoặc ép buộc người đang nghiên cứu phát triển kỹ thuật, công nghệ phải dừng hoặc huỷ bỏ việc nghiên cứu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có vị trí thống lĩnh thị trường đối với hành vi quy định tại khoản 1 Điều này thuộc một trong các trường hợp quy định tại khoản 2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Phạt tiền từ 5% đến 10% tổng doanh thu trong năm tài chính trước năm thực hiện hành vi vi phạm của doanh nghiệp thuộc nhóm doanh nghiệp có vị trí thống lĩnh thị trường đối với hành vi quy định tại khoản 1 Điều này thuộc một trong các trường hợp quy định tại khoản 3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Ngoài việc bị phạt tiền theo quy định tại khoản 1, 2 và 3 Điều này, doanh nghiệp vi phạm các quy định về lạm dụng vị trí thống lĩnh thị trường có thể bị áp dụng một hoặc một số hình thức xử phạt bổ sung và biện pháp khắc phục hậu quả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a) Các hình thức xử phạt bổ sung và biện pháp khắc phục hậu quả quy định tại khoản 4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sử dụng hoặc bán lại các sáng chế, giải pháp hữu ích, kiểu dáng công nghiệp đã mua nhưng không sử dụng;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Buộc loại bỏ những biện pháp ngăn cản, kìm hãm doanh nghiệp khác tham gia thị trường hoặc phát triển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Buộc khôi phục các điều kiện phát triển kỹ thuật, công nghệ mà doanh nghiệp đã cản trở.</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29" w:name="dieu_21"/>
      <w:r w:rsidRPr="00006A50">
        <w:rPr>
          <w:rFonts w:eastAsia="Times New Roman" w:cs="Times New Roman"/>
          <w:b/>
          <w:bCs/>
          <w:color w:val="000000"/>
          <w:sz w:val="24"/>
          <w:szCs w:val="24"/>
        </w:rPr>
        <w:t>Điều 21.</w:t>
      </w:r>
      <w:r w:rsidRPr="00006A50">
        <w:rPr>
          <w:rFonts w:eastAsia="Times New Roman" w:cs="Times New Roman"/>
          <w:color w:val="000000"/>
          <w:sz w:val="24"/>
          <w:szCs w:val="24"/>
        </w:rPr>
        <w:t> Hành vi áp đặt điều kiện thương mại khác nhau trong giao dịch như nhau nhằm tạo bất bình đẳng trong cạnh tranh</w:t>
      </w:r>
      <w:bookmarkEnd w:id="2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doanh nghiệp có vị trí thống lĩnh thị trường hoặc từng doanh nghiệp thuộc nhóm doanh nghiệp có vị trí thống lĩnh thị trường đối với hành vi phân biệt đối xử với các doanh nghiệp về điều kiện mua, bán, giá cả, thời hạn thành toán, số lượng trong những giao dịch mua, bán hàng hoá, dịch vụ tương tự về mặt giá trị hoặc tính chất hàng hoá, dịch vụ để đặt một hoặc một số doanh nghiệp vào vị trí cạnh tranh có lợi hơn so với doanh nghiệp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có vị trí thống lĩnh thị trường đối với hành vi quy định tại khoản 1 Điều này thuộc một trong các trường hợp quy định tại khoản 2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Phạt tiền từ 5% đến 10% tổng doanh thu trong năm tài chính trước năm thực hiện hành vi vi phạm của doanh nghiệp thuộc nhóm doanh nghiệp có vị trí thống lĩnh thị trường đối với hành vi quy định tại khoản 1 Điều này thuộc một trong các trường hợp quy định tại khoản 3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Ngoài việc bị phạt tiền theo quy định tại khoản 1, 2 và 3 Điều này, doanh nghiệp vi phạm các quy định về lạm dụng vị trí thống lĩnh thị trường có thể bị áp dụng một hoặc một số hình thức xử phạt bổ sung và biện pháp khắc phục hậu quả quy định tại khoản 4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0" w:name="dieu_22"/>
      <w:r w:rsidRPr="00006A50">
        <w:rPr>
          <w:rFonts w:eastAsia="Times New Roman" w:cs="Times New Roman"/>
          <w:b/>
          <w:bCs/>
          <w:color w:val="000000"/>
          <w:sz w:val="24"/>
          <w:szCs w:val="24"/>
        </w:rPr>
        <w:t>Điều 22.</w:t>
      </w:r>
      <w:r w:rsidRPr="00006A50">
        <w:rPr>
          <w:rFonts w:eastAsia="Times New Roman" w:cs="Times New Roman"/>
          <w:color w:val="000000"/>
          <w:sz w:val="24"/>
          <w:szCs w:val="24"/>
        </w:rPr>
        <w:t> Hành vi áp đặt điều kiện cho doanh nghiệp khác ký kết hợp đồng mua, bán hàng hoá, dịch vụ hoặc buộc doanh nghiệp khác chấp nhận các nghĩa vụ không liên quan trực tiếp đến đối tượng của </w:t>
      </w:r>
      <w:bookmarkEnd w:id="30"/>
      <w:r w:rsidRPr="00006A50">
        <w:rPr>
          <w:rFonts w:eastAsia="Times New Roman" w:cs="Times New Roman"/>
          <w:color w:val="000000"/>
          <w:sz w:val="24"/>
          <w:szCs w:val="24"/>
        </w:rPr>
        <w:t>hợp đồng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Áp đặt cho doanh nghiệp khác điều kiện tiên quyết sau đây trước khi ký kết hợp đồng mua, bán hàng hoá, dịch vụ:</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sản xuất, phân phối hàng hoá khác; mua, cung ứng dịch vụ khác không liên quan trực tiếp đến cam kết của bên nhận đại lý theo quy định của pháp luật về đại lý;</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Hạn chế về địa điểm bán lại hàng hoá, trừ những hàng hoá thuộc danh mục mặt hàng kinh doanh có điều kiện, mặt hàng hạn chế kinh doanh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khách hàng mua hàng hoá để bán lại, trừ những hàng hoá thuộc danh mục mặt hàng kinh doanh có điều kiện, mặt hàng hạn chế kinh doanh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Hạn chế về hình thức, số lượng hàng hoá được cung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Ràng buộc doanh nghiệp khác khi mua, bán hàng hoá, dịch vụ với bất kỳ doanh nghiệp nào tham gia thoả thuận phải mua hàng hoá, dịch vụ khác từ nhà cung cấp hoặc người được chỉ định trước hoặc thực hiện thêm một hoặc một số nghĩa vụ nằm ngoài phạm vi cần thiết để thực hiện hợp đồng.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có vị trí thống lĩnh thị trường đối với hành vi quy định tại khoản 1 Điều này thuộc một trong các trường hợp quy định tại khoản 2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Phạt tiền từ 5% đến 10% tổng doanh thu trong năm tài chính trước năm thực hiện hành vi vi phạm của doanh nghiệp thuộc nhóm doanh nghiệp có vị trí thống lĩnh thị trường đối với hành vi quy định tại khoản 1 Điều này thuộc một trong các trường hợp quy định tại khoản 3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Ngoài việc bị phạt tiền theo quy định tại khoản 1, 2 và 3 Điều này, doanh nghiệp vi phạm các quy định về lạm dụng vị trí thống lĩnh thị trường có thể bị áp dụng một hoặc một số hình thức xử phạt bổ sung và biện pháp khắc phục hậu quả quy định tại khoản 4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1" w:name="dieu_23"/>
      <w:r w:rsidRPr="00006A50">
        <w:rPr>
          <w:rFonts w:eastAsia="Times New Roman" w:cs="Times New Roman"/>
          <w:b/>
          <w:bCs/>
          <w:color w:val="000000"/>
          <w:sz w:val="24"/>
          <w:szCs w:val="24"/>
        </w:rPr>
        <w:t>Điều 23.</w:t>
      </w:r>
      <w:r w:rsidRPr="00006A50">
        <w:rPr>
          <w:rFonts w:eastAsia="Times New Roman" w:cs="Times New Roman"/>
          <w:color w:val="000000"/>
          <w:sz w:val="24"/>
          <w:szCs w:val="24"/>
        </w:rPr>
        <w:t> Hành vi ngăn cản việc tham gia thị trường của những đối thủ cạnh tranh mới</w:t>
      </w:r>
      <w:bookmarkEnd w:id="3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doanh nghiệp có vị trí thống lĩnh thị trường hoặc từng doanh nghiệp thuộc nhóm doanh nghiệp có vị trí thống lĩnh thị trường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Yêu cầu khác hàng của mình không giao dịch với đối thủ cạnh tranh mới;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Đe doạ hoặc cưỡng ép các nhà phân phối, các cửa hàng bán lẻ không chấp nhận phân phối những mặt hàng của đối thủ cạnh tranh mới;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Bán hàng hoá với mức giá đủ để đối thủ cạnh tranh mới không thể gia nhập thị trường nhưng không thuộc trường hợp quy định tại khoản 1 Điều 19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có vị trí thống lĩnh thị trường đối với hành vi quy định tại khoản 1 Điều này thuộc một trong các trường hợp quy định tại khoản 2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Phạt tiền từ 5% đến 10% tổng doanh thu trong năm tài chính trước năm thực hiện hành vi vi phạm của doanh nghiệp thuộc nhóm doanh nghiệp có vị trí thống lĩnh thị trường đối với hành vi quy định tại khoản 1 Điều này thuộc một trong các trường hợp quy định tại khoản 3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4. Ngoài việc bị phạt tiền theo quy định tại khoản 1, 2 và 3 Điều này, doanh nghiệp vi phạm các quy định về lạm dụng vị trí thống lĩnh thị trường có thể bị áp dụng một hoặc một số hình thức xử phạt bổ sung và biện pháp khắc phục hậu quả quy định tại khoản 4 Điều 18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2" w:name="dieu_24"/>
      <w:r w:rsidRPr="00006A50">
        <w:rPr>
          <w:rFonts w:eastAsia="Times New Roman" w:cs="Times New Roman"/>
          <w:b/>
          <w:bCs/>
          <w:color w:val="000000"/>
          <w:sz w:val="24"/>
          <w:szCs w:val="24"/>
        </w:rPr>
        <w:t>Điều 24.</w:t>
      </w:r>
      <w:r w:rsidRPr="00006A50">
        <w:rPr>
          <w:rFonts w:eastAsia="Times New Roman" w:cs="Times New Roman"/>
          <w:color w:val="000000"/>
          <w:sz w:val="24"/>
          <w:szCs w:val="24"/>
        </w:rPr>
        <w:t> Hành vi lạm dụng vị trí độc quyền</w:t>
      </w:r>
      <w:bookmarkEnd w:id="3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10% tổng doanh thu trong năm tài chính trước năm thực hiện hành vi vi phạm của doanh nghiệp có vị trí độc quyền đối với một trong các hành vi lạm dụng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Các hành vi quy định tại khoản 1 Điều 18, khoản 1 Điều 19, khoản 1 Điều 20, khoản 1 Điều 21, khoản 1 Điều 22 và khoản 1 Điều 23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Áp đặt các điều kiện bất lợi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Đơn phương thay đổi hoặc huỷ bỏ hợp đồng đã giao kết mà không cần thông báo trước cho khách hàng và không phải chịu biện pháp chế tài nào;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Đơn phương thay đổi hoặc huỷ bỏ hợp đồng đã giao kết căn cứ vào một hoặc một số lý do không liên quan trực tiếp đến các điều kiện cần thiết để tiếp tục thực hiện đầy đủ hợp đồng và không phải chịu biện pháp chế tài nào.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Ngoài việc bị phạt tiền quy định tại khoản 1 Điều này, doanh nghiệp lạm dụng vị trí độc quyền có thể bị áp dụng một hoặc một số hình thức xử phạt bổ sung và biện pháp khắc phục hậu quả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Tịch thu tang vật, phương tiện được sử dụng để thực hiện hành vi vi phạm bao gồm cả tịch thu toàn bộ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loại bỏ những điều khoản vi phạm pháp luật ra khỏi hợp đồng hoặc giao dịch kinh doanh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Buộc khôi phục các điều kiện phát triển kỹ thuật, công nghệ mà doanh nghiệp đã cản trở;</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Buộc loại bỏ các điều kiện bất lợi đã áp đặt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Buộc khôi phục lại các điều khoản hợp đồng đã thay đổi mà không có lý do chính đáng;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Buộc khôi phục lại hợp đồng đã huỷ bỏ mà không có lý do chính đáng.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3" w:name="muc_3"/>
      <w:r w:rsidRPr="00006A50">
        <w:rPr>
          <w:rFonts w:eastAsia="Times New Roman" w:cs="Times New Roman"/>
          <w:b/>
          <w:bCs/>
          <w:color w:val="000000"/>
          <w:sz w:val="24"/>
          <w:szCs w:val="24"/>
        </w:rPr>
        <w:t>MỤC 3: HÀNH VI VI PHẠM QUY ĐỊNH VỀ TẬP TRUNG KINH TẾ</w:t>
      </w:r>
      <w:bookmarkEnd w:id="3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4" w:name="dieu_25"/>
      <w:r w:rsidRPr="00006A50">
        <w:rPr>
          <w:rFonts w:eastAsia="Times New Roman" w:cs="Times New Roman"/>
          <w:b/>
          <w:bCs/>
          <w:color w:val="000000"/>
          <w:sz w:val="24"/>
          <w:szCs w:val="24"/>
        </w:rPr>
        <w:t>Điều 25.</w:t>
      </w:r>
      <w:r w:rsidRPr="00006A50">
        <w:rPr>
          <w:rFonts w:eastAsia="Times New Roman" w:cs="Times New Roman"/>
          <w:color w:val="000000"/>
          <w:sz w:val="24"/>
          <w:szCs w:val="24"/>
        </w:rPr>
        <w:t> Hành vi sáp nhập doanh nghiệp bị cấm</w:t>
      </w:r>
      <w:bookmarkEnd w:id="3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các doanh nghiệp nhận sáp nhập và doanh nghiệp bị sáp nhập đối với hành vi sáp nhập bị cấm theo quy định tại Điều 18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 xml:space="preserve">2. Phạt tiền từ 5% đến 10% tổng doanh thu trong năm tài chính trước năm thực hiện hành vi vi phạm của các doanh nghiệp nhận sáp nhập và doanh nghiệp bị sáp nhập đối với hành vi sáp nhập </w:t>
      </w:r>
      <w:r w:rsidRPr="00006A50">
        <w:rPr>
          <w:rFonts w:eastAsia="Times New Roman" w:cs="Times New Roman"/>
          <w:color w:val="000000"/>
          <w:sz w:val="24"/>
          <w:szCs w:val="24"/>
        </w:rPr>
        <w:lastRenderedPageBreak/>
        <w:t>quy định tại khoản 1 Điều này trong trường hợp doanh nghiệp nhận sáp nhập chèn ép, buộc doanh nghiệp bị sáp nhập phải sáp nhập.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quy định tại khoản 1 và 2 Điều này, doanh nghiệp nhận sáp nhập có thể bị buộc thực hiện chia, tách thành doanh nghiệp bị sáp nhập và doanh nghiệp nhận sáp nhập như trước khi sáp nhập.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5" w:name="dieu_26"/>
      <w:r w:rsidRPr="00006A50">
        <w:rPr>
          <w:rFonts w:eastAsia="Times New Roman" w:cs="Times New Roman"/>
          <w:b/>
          <w:bCs/>
          <w:color w:val="000000"/>
          <w:sz w:val="24"/>
          <w:szCs w:val="24"/>
        </w:rPr>
        <w:t>Điều 26.</w:t>
      </w:r>
      <w:r w:rsidRPr="00006A50">
        <w:rPr>
          <w:rFonts w:eastAsia="Times New Roman" w:cs="Times New Roman"/>
          <w:color w:val="000000"/>
          <w:sz w:val="24"/>
          <w:szCs w:val="24"/>
        </w:rPr>
        <w:t> Hành vi hợp nhất doanh nghiệp bị cấm</w:t>
      </w:r>
      <w:bookmarkEnd w:id="3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các doanh nghiệp bị hợp nhất đối với hành vi hợp nhất bị cấm theo quy định tại Điều 18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các doanh nghiệp bị hợp nhất đối với hành vi hợp nhất quy định tại khoản 1 Điều này trong trường hợp hợp nhất làm tăng giá hàng hoá, dịch vụ một cách đáng kể trên thị trường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hợp nhất có thể bị áp dụng một hoặc một số hình thức xử phạt bổ sung và biện pháp khắc phục hậu quả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Thu hồi giấy chứng nhận đăng ký kinh doanh đã cấp cho doanh nghiệp hợp nhất;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chia, tách doanh nghiệp hợp nhất.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6" w:name="dieu_27"/>
      <w:r w:rsidRPr="00006A50">
        <w:rPr>
          <w:rFonts w:eastAsia="Times New Roman" w:cs="Times New Roman"/>
          <w:b/>
          <w:bCs/>
          <w:color w:val="000000"/>
          <w:sz w:val="24"/>
          <w:szCs w:val="24"/>
        </w:rPr>
        <w:t>Điều 27.</w:t>
      </w:r>
      <w:r w:rsidRPr="00006A50">
        <w:rPr>
          <w:rFonts w:eastAsia="Times New Roman" w:cs="Times New Roman"/>
          <w:color w:val="000000"/>
          <w:sz w:val="24"/>
          <w:szCs w:val="24"/>
        </w:rPr>
        <w:t> Hành vi mua lại doanh nghiệp bị cấm</w:t>
      </w:r>
      <w:bookmarkEnd w:id="3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doanh nghiệp mua lại đối với hành vi mua lại một phần hoặc toàn bộ tài sản của doanh nghiệp khác bị cấm theo quy định tại Điều 18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5% đến 10% tổng doanh thu trong năm tài chính trước năm thực hiện hành vi vi phạm của doanh nghiệp mua lại đối với hành vi mua lại quy định tại khoản 1 Điều này trong trường hợp doanh nghiệp mua lại chèn ép, buộc doanh nghiệp bị mua lại phải bán toàn bộ hoặc một phần tài sản của mình.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mua lại còn bị buộc phải bán lại phần tài sản mà doanh nghiệp đã mua.</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7" w:name="dieu_28"/>
      <w:r w:rsidRPr="00006A50">
        <w:rPr>
          <w:rFonts w:eastAsia="Times New Roman" w:cs="Times New Roman"/>
          <w:b/>
          <w:bCs/>
          <w:color w:val="000000"/>
          <w:sz w:val="24"/>
          <w:szCs w:val="24"/>
        </w:rPr>
        <w:t>Điều 28.</w:t>
      </w:r>
      <w:r w:rsidRPr="00006A50">
        <w:rPr>
          <w:rFonts w:eastAsia="Times New Roman" w:cs="Times New Roman"/>
          <w:color w:val="000000"/>
          <w:sz w:val="24"/>
          <w:szCs w:val="24"/>
        </w:rPr>
        <w:t> Hành vi liên doanh giữa các doanh nghiệp bị cấm</w:t>
      </w:r>
      <w:bookmarkEnd w:id="3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đến 5% tổng doanh thu trong năm tài chính trước năm thực hiện hành vi vi phạm của mỗi bên liên doanh tương ứng đối với hành vi liên doanh bị cấm theo quy định tại Điều 18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 xml:space="preserve">2. Phạt tiền từ 5% đến 10% tổng doanh thu trong năm tài chính trước năm thực hiện hành vi vi phạm của mỗi bên liên doanh tương ứng đối với hành vi liên doanh quy định tại khoản 1 Điều </w:t>
      </w:r>
      <w:r w:rsidRPr="00006A50">
        <w:rPr>
          <w:rFonts w:eastAsia="Times New Roman" w:cs="Times New Roman"/>
          <w:color w:val="000000"/>
          <w:sz w:val="24"/>
          <w:szCs w:val="24"/>
        </w:rPr>
        <w:lastRenderedPageBreak/>
        <w:t>này trong trường hợp liên doanh làm tăng giá hàng hoá, dịch vụ một cách đáng kể trên thị trường liên quan.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các bên liên doanh, doanh nghiệp liên doanh còn có thể bị thu hồi giấy chứng nhận đăng ký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8" w:name="dieu_29"/>
      <w:r w:rsidRPr="00006A50">
        <w:rPr>
          <w:rFonts w:eastAsia="Times New Roman" w:cs="Times New Roman"/>
          <w:b/>
          <w:bCs/>
          <w:color w:val="000000"/>
          <w:sz w:val="24"/>
          <w:szCs w:val="24"/>
        </w:rPr>
        <w:t>Điều 29.</w:t>
      </w:r>
      <w:r w:rsidRPr="00006A50">
        <w:rPr>
          <w:rFonts w:eastAsia="Times New Roman" w:cs="Times New Roman"/>
          <w:color w:val="000000"/>
          <w:sz w:val="24"/>
          <w:szCs w:val="24"/>
        </w:rPr>
        <w:t> Hành vi không thông báo về tập trung kinh tế</w:t>
      </w:r>
      <w:bookmarkEnd w:id="3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Phạt tiền từ 1% đến 3% tổng doanh thu trong năm tài chính trước năm thực hiện hành vi vi phạm của các doanh nghiệp quy định tại khoản 1 Điều 25, khoản 1 Điều 26, khoản 1 Điều 27 và khoản 1 Điều 28 của Nghị định này đối với hành vi tập trung kinh tế mà không thực hiện nghĩa vụ thông báo theo quy định tại Điều 20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39" w:name="muc_4"/>
      <w:r w:rsidRPr="00006A50">
        <w:rPr>
          <w:rFonts w:eastAsia="Times New Roman" w:cs="Times New Roman"/>
          <w:b/>
          <w:bCs/>
          <w:color w:val="000000"/>
          <w:sz w:val="24"/>
          <w:szCs w:val="24"/>
        </w:rPr>
        <w:t>MỤC 4: HÀNH VI VI PHẠM QUY ĐỊNH VỀ CẠNH TRANH KHÔNG LÀNH MẠNH</w:t>
      </w:r>
      <w:bookmarkEnd w:id="3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0" w:name="dieu_30"/>
      <w:r w:rsidRPr="00006A50">
        <w:rPr>
          <w:rFonts w:eastAsia="Times New Roman" w:cs="Times New Roman"/>
          <w:b/>
          <w:bCs/>
          <w:color w:val="000000"/>
          <w:sz w:val="24"/>
          <w:szCs w:val="24"/>
        </w:rPr>
        <w:t>Điều 30.</w:t>
      </w:r>
      <w:r w:rsidRPr="00006A50">
        <w:rPr>
          <w:rFonts w:eastAsia="Times New Roman" w:cs="Times New Roman"/>
          <w:color w:val="000000"/>
          <w:sz w:val="24"/>
          <w:szCs w:val="24"/>
        </w:rPr>
        <w:t> Hành vi chỉ dẫn gây nhầm lẫn</w:t>
      </w:r>
      <w:bookmarkEnd w:id="40"/>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5.000.000 đồng đến 10.000.000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Sử dụng chỉ dẫn chứa đựng thông tin gây nhầm lẫn về tên thương mại, khẩu hiệu kinh doanh, biểu tượng kinh doanh, bao bì, chỉ dẫn địa lý để làm sai lệch nhận thức của khách hàng về hàng hóa, dịch vụ của mình và của doanh nghiệp khác nhằm mục đích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Kinh doanh hàng hoá, dịch vụ có sử dụng chỉ dẫn gây nhầm lẫn quy định tại điểm a khoản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10.000.000 đồng đến 20.000.000 đồng đối với hành vi chỉ dẫn gây nhầm lẫn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Hàng hoá, dịch vụ liên quan là các mặt hàng quy định tại điểm a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Hàng hoá, dịch vụ được lưu thông, cung ứng trên phạm vi từ hai tỉnh, thành phố trực thuộc trung ương trở lên.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khoản 1 và 2 Điều này, doanh nghiệp vi phạm còn có thể bị áp dụng một hoặc một số hình thức xử phạt bổ sung và biện pháp khắc phục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Tịch thu tang vật, phương tiện được sử dụng để thực hiện hành vi vi phạm bao gồm cả tịch thu toàn bộ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Buộc cải chính công khai.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1" w:name="dieu_31"/>
      <w:r w:rsidRPr="00006A50">
        <w:rPr>
          <w:rFonts w:eastAsia="Times New Roman" w:cs="Times New Roman"/>
          <w:b/>
          <w:bCs/>
          <w:color w:val="000000"/>
          <w:sz w:val="24"/>
          <w:szCs w:val="24"/>
        </w:rPr>
        <w:t>Điều 31.</w:t>
      </w:r>
      <w:r w:rsidRPr="00006A50">
        <w:rPr>
          <w:rFonts w:eastAsia="Times New Roman" w:cs="Times New Roman"/>
          <w:color w:val="000000"/>
          <w:sz w:val="24"/>
          <w:szCs w:val="24"/>
        </w:rPr>
        <w:t> Hành vi xâm phạm bí mật kinh doanh</w:t>
      </w:r>
      <w:bookmarkEnd w:id="4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5.000.000 đồng đến 10.000.000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Tiếp cận, thu thập thông tin thuộc bí mật kinh doanh bằng cách chống lại các biện pháp bảo mật của người sở hữu hợp pháp bí mật kinh doanh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b) Tiết lộ, sử dụng thông tin thuộc bí mật kinh doanh mà không được phép của chủ sở hữu bí mật kinh doanh;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Vi phạm hợp đồng bảo mật hoặc lừa gạt, lợi dụng lòng tin của người có nghĩa vụ bảo mật nhằm tiếp cận, thu thập và làm lộ thông tin thuộc bí mật kinh doanh của chủ sở hữu bí mật kinh doanh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Tiếp cận, thu thập thông tin thuộc bí mật kinh doanh của người khác khi người này làm thủ tục theo quy định của pháp luật liên quan đến kinh doanh, làm thủ tục lưu hành sản phẩm hoặc bằng cách chống lại các biện pháp bảo mật của cơ quan nhà nước hoặc sử dụng những thông tin đó nhằm mục đích kinh doanh, xin cấp giấy phép liên quan đến kinh doanh hoặc lưu hành sản phẩm.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10.000.000 đồng đến 20.000.000 đồng đối với một trong các hành vi xâm phạm bí mật kinh doanh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Sử dụng bí mật kinh doanh để sản xuất và lưu thông hàng hoá, cung ứng dịch vụ trên phạm vi từ hai tỉnh, thành phố trực thuộc trung ương trở lên;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Tiết lộ, cung cấp bí mật kinh doanh cho đối thủ cạnh tranh của chủ sở hữu bí mật kinh doanh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theo khoản 1 Điều này, doanh nghiệp vi phạm còn có thể bị tịch thu tang vật, phương tiện được sử dụng để thực hiện hành vi vi phạm bao gồm cả tịch thu toàn bộ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2" w:name="dieu_32"/>
      <w:r w:rsidRPr="00006A50">
        <w:rPr>
          <w:rFonts w:eastAsia="Times New Roman" w:cs="Times New Roman"/>
          <w:b/>
          <w:bCs/>
          <w:color w:val="000000"/>
          <w:sz w:val="24"/>
          <w:szCs w:val="24"/>
        </w:rPr>
        <w:t>Điều 32.</w:t>
      </w:r>
      <w:r w:rsidRPr="00006A50">
        <w:rPr>
          <w:rFonts w:eastAsia="Times New Roman" w:cs="Times New Roman"/>
          <w:color w:val="000000"/>
          <w:sz w:val="24"/>
          <w:szCs w:val="24"/>
        </w:rPr>
        <w:t> Hành vi ép buộc trong kinh doanh</w:t>
      </w:r>
      <w:bookmarkEnd w:id="4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5.000.000 đồng đến 10.000.000 đồng đối với hành vi ép buộc khách hàng, đối tác kinh doanh của doanh nghiệp khác bằng hành vi đe doạ hoặc cưỡng ép để buộc họ không giao dịch hoặc ngừng giao dịch với doanh nghiệp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10.000.000 đồng đến 20.000.000 đồng đối với hành vi vi phạm ép buộc trong kinh doanh quy định tại khoản 1 Điều này trong trường hợp ép buộc khách hàng hoặc đối tác kinh doanh lớn nhất của đối thủ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bị tịch thu tang vật, phương tiện được sử dụng để thực hiện hành vi vi phạm bao gồm cả tịch thu toàn bộ khoản lợi nhuận thu được từ việc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3" w:name="dieu_33"/>
      <w:r w:rsidRPr="00006A50">
        <w:rPr>
          <w:rFonts w:eastAsia="Times New Roman" w:cs="Times New Roman"/>
          <w:b/>
          <w:bCs/>
          <w:color w:val="000000"/>
          <w:sz w:val="24"/>
          <w:szCs w:val="24"/>
        </w:rPr>
        <w:t>Điều 33.</w:t>
      </w:r>
      <w:r w:rsidRPr="00006A50">
        <w:rPr>
          <w:rFonts w:eastAsia="Times New Roman" w:cs="Times New Roman"/>
          <w:color w:val="000000"/>
          <w:sz w:val="24"/>
          <w:szCs w:val="24"/>
        </w:rPr>
        <w:t> Hành vi gièm pha doanh nghiệp khác</w:t>
      </w:r>
      <w:bookmarkEnd w:id="4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5.000.000 đồng đến 10.000.000 đồng đối với hành vi gièm pha doanh nghiệp khác bằng hành vi gián tiếp đưa ra thông tin không trung thực, gây ảnh hưởng xấu đến uy tín, tình trạng tài chính và hoạt động kinh doanh của doanh nghiệp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2. Phạt tiền từ 10.000.000 đồng đến 20.000.000 đồng đối với hành vi gièm pha doanh nghiệp khác bằng hành vi trực tiếp đưa ra thông tin không trung thực, gây ảnh hưởng xấu đến uy tín, tình trạng tài chính và hoạt động kinh doanh của doanh nghiệp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30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4" w:name="dieu_34"/>
      <w:r w:rsidRPr="00006A50">
        <w:rPr>
          <w:rFonts w:eastAsia="Times New Roman" w:cs="Times New Roman"/>
          <w:b/>
          <w:bCs/>
          <w:color w:val="000000"/>
          <w:sz w:val="24"/>
          <w:szCs w:val="24"/>
        </w:rPr>
        <w:t>Điều 34.</w:t>
      </w:r>
      <w:r w:rsidRPr="00006A50">
        <w:rPr>
          <w:rFonts w:eastAsia="Times New Roman" w:cs="Times New Roman"/>
          <w:color w:val="000000"/>
          <w:sz w:val="24"/>
          <w:szCs w:val="24"/>
        </w:rPr>
        <w:t> Hành vi gây rối hoạt động kinh doanh của doanh nghiệp khác</w:t>
      </w:r>
      <w:bookmarkEnd w:id="4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5.000.000 đồng đến 10.000.000 đồng đối với hành vi gây rối hoạt động kinh doanh hợp pháp của doanh nghiệp khác bằng hành vi trực tiếp hoặc gián tiếp cản trở, làm gián đoạn hoạt động kinh doanh của doanh nghiệp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10.000.000 đồng đến 20.000.000 đồng đối với hành vi gây rối hoạt động kinh doanh của doanh nghiệp khác làm cho doanh nghiệp bị gây rối không thể tiếp tục tiến hành hoạt động kinh doanh một cách bình thường.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doanh nghiệp vi phạm còn có thể bị áp dụng một hoặc một số hình thức xử phạt bổ sung và biện pháp khắc phục hậu quả quy định tại khoản 3 Điều 30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5" w:name="dieu_35"/>
      <w:r w:rsidRPr="00006A50">
        <w:rPr>
          <w:rFonts w:eastAsia="Times New Roman" w:cs="Times New Roman"/>
          <w:b/>
          <w:bCs/>
          <w:color w:val="000000"/>
          <w:sz w:val="24"/>
          <w:szCs w:val="24"/>
        </w:rPr>
        <w:t>Điều 35.</w:t>
      </w:r>
      <w:r w:rsidRPr="00006A50">
        <w:rPr>
          <w:rFonts w:eastAsia="Times New Roman" w:cs="Times New Roman"/>
          <w:color w:val="000000"/>
          <w:sz w:val="24"/>
          <w:szCs w:val="24"/>
        </w:rPr>
        <w:t> Hành vi quảng cáo nhằm cạnh tranh không lành mạnh</w:t>
      </w:r>
      <w:bookmarkEnd w:id="4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15.000.000 đồng đến 25.000.000 đồng đối với một trong các hành vi quảng cáo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So sánh trực tiếp hàng hoá, dịch vụ của mình với hàng hoá, dịch vụ cùng loại của doanh nghiệp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Bắt chước một sản phẩm quảng cáo khác để gây nhầm lẫn cho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Đưa thông tin gian dối hoặc gây nhầm lẫn cho khách hàng về một trong các nội dung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Giá, số lượng, chất lượng, công dụng, kiểu dáng, chủng loại, bao bì, ngày sản xuất, thời hạn sử dụng, xuất xứ hàng hoá, người sản xuất, nơi sản xuất, người gia công, nơi gia công;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Cách thức sử dụng, phương thức phục vụ, thời hạn bảo hành;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Các thông tin gian dối hoặc gây nhầm lẫn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30.000.000 đồng đến 50.000.000 đồng đối với một trong các hành vi vi phạm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Hàng hoá, dịch vụ liên quan là các mặt hàng quy định tại điểm a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Quy mô quảng cáo thuộc phạm vi từ hai tỉnh, thành phố trực thuộc trung ương trở lên.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3. Ngoài việc bị phạt tiền quy định tại khoản 1 và 2 Điều này, doanh nghiệp vi phạm còn có thể bị áp dụng một hoặc một số hình thức xử phạt bổ sung và biện pháp khắc phục hậu quả quy định tại khoản 3 Điều 30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6" w:name="dieu_36"/>
      <w:r w:rsidRPr="00006A50">
        <w:rPr>
          <w:rFonts w:eastAsia="Times New Roman" w:cs="Times New Roman"/>
          <w:b/>
          <w:bCs/>
          <w:color w:val="000000"/>
          <w:sz w:val="24"/>
          <w:szCs w:val="24"/>
        </w:rPr>
        <w:t>Điều 36.</w:t>
      </w:r>
      <w:r w:rsidRPr="00006A50">
        <w:rPr>
          <w:rFonts w:eastAsia="Times New Roman" w:cs="Times New Roman"/>
          <w:color w:val="000000"/>
          <w:sz w:val="24"/>
          <w:szCs w:val="24"/>
        </w:rPr>
        <w:t> Hành vi khuyến mại nhằm cạnh tranh không lành mạnh</w:t>
      </w:r>
      <w:bookmarkEnd w:id="4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15.000.000 đồng đến 25.000.000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Tổ chức khuyến mại mà gian dối về giải thưởng;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Khuyến mại không trung thực hoặc gây nhầm lẫn về hàng hoá, dịch vụ để lừa dối khách hàng;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Phân biệt đối xử đối với các khách hàng như nhau tại các địa bàn tổ chức khuyến mại khác nhau trong cùng một chương trình khuyến mại;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Tặng hàng hoá cho khách hàng dùng thử nhưng lại yêu cầu khách hàng đổi hàng hoá cùng loại do doanh nghiệp khác sản xuất mà khách hàng đó đang sử dụng để dùng hàng hóa của mình.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30.000.000 đồng đến 50.000.000 đồng đối với một trong các hành vi vi phạm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Hàng hoá, dịch vụ được khuyến mại là các mặt hàng quy định tại điểm a khoản 2 Điều 10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Quy mô tổ chức khuyến mại thuộc phạm vi từ hai tỉnh, thành phố trực thuộc trung ương trở lên.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quy định tại khoản 1 và 2 Điều này, doanh nghiệp thực hiện các hoạt động khuyến mại nhằm cạnh tranh không lành mành còn có thể bị áp dụng một hoặc một số hình thức xử phạt bổ sung và biện pháp khắc phục hậu quả quy định tại khoản 3 Điều 30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7" w:name="dieu_37"/>
      <w:r w:rsidRPr="00006A50">
        <w:rPr>
          <w:rFonts w:eastAsia="Times New Roman" w:cs="Times New Roman"/>
          <w:b/>
          <w:bCs/>
          <w:color w:val="000000"/>
          <w:sz w:val="24"/>
          <w:szCs w:val="24"/>
        </w:rPr>
        <w:t>Điều 37.</w:t>
      </w:r>
      <w:r w:rsidRPr="00006A50">
        <w:rPr>
          <w:rFonts w:eastAsia="Times New Roman" w:cs="Times New Roman"/>
          <w:color w:val="000000"/>
          <w:sz w:val="24"/>
          <w:szCs w:val="24"/>
        </w:rPr>
        <w:t> Hành vi phân biệt đối xử của hiệp hội</w:t>
      </w:r>
      <w:bookmarkEnd w:id="4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15.000.000 đồng đến 25.000.000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Từ chối doanh nghiệp có đủ điều kiện gia nhập hoặc rút khỏi hiệp hội nếu việc từ chối đó mang tính phân biệt đối xử và làm cho doanh nghiệp đó bị bất lợi trong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Hạn chế bất hợp lý hoạt động kinh doanh hoặc các hoạt động khác có liên quan tới mục đích kinh doanh của các doanh nghiệp thành viên.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30.000.000 đồng đến 50.000.000 đồng đối với một trong các hành vi quy định tại khoản 1 Điều này thuộc một trong các trường hợp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Thực hiện hành vi vi phạm nhiều lần đối với một doanh nghiệp;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Thực hiện hành vi vi phạm đối với nhiều doanh nghiệp cùng một lúc;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Hạn chế bất hợp lý để chèn ép doanh nghiệp thành viên phải rút khỏi hiệp hội.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8" w:name="dieu_38"/>
      <w:r w:rsidRPr="00006A50">
        <w:rPr>
          <w:rFonts w:eastAsia="Times New Roman" w:cs="Times New Roman"/>
          <w:b/>
          <w:bCs/>
          <w:color w:val="000000"/>
          <w:sz w:val="24"/>
          <w:szCs w:val="24"/>
        </w:rPr>
        <w:lastRenderedPageBreak/>
        <w:t>Điều 38.</w:t>
      </w:r>
      <w:r w:rsidRPr="00006A50">
        <w:rPr>
          <w:rFonts w:eastAsia="Times New Roman" w:cs="Times New Roman"/>
          <w:color w:val="000000"/>
          <w:sz w:val="24"/>
          <w:szCs w:val="24"/>
        </w:rPr>
        <w:t> Hành vi bán hàng đa cấp bất chính</w:t>
      </w:r>
      <w:bookmarkEnd w:id="4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doanh nghiệp bán hàng đa cấp từ 50.000.000 đồng đến 70.000.000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Yêu cầu người muốn tham gia phải đặt cọc để được quyền tham gia mạng lưới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Yêu cầu người muốn tham gia phải mua một số lượng hàng hoá ban đầu để được quyền tham gia mạng lưới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Yêu cầu người muốn tham gia phải trả một khoản tiền hoặc trả bất kỳ một khoản phí nào dưới hình thức khoá học, khoá đào tạo, hội thảo, hoạt động xã hội hay các hoạt động tương tự khác để được quyền tham gia mạng lưới bán hàng đa cấp trừ tiền mua tài liệu quy định tại khoản 2 Điều 6 của Nghị định số 110/2005/NĐ-CP ngày 24 tháng 8 năm 2005 của Chính phủ về quản lý hoạt động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Không cam kết cho người tham gia trả lại hàng hoá và nhận lại khoản tiền đã chuyển cho doanh nghiệp theo quy định tại Điều 11 của Nghị định số 110/2005/NĐ-CP ngày 24 tháng 8 năm 2005 của Chính phủ về quản lý hoạt động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Cản trở người tham gia trả lại hàng hoá phát sinh từ việc chấm dứt hợp đồng tham gia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Cho người tham gia nhận tiền hoa hồng, tiền thưởng, lợi ích kinh tế khác chủ yếu từ việc dụ dỗ người khác tham gia mạng lưới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 Cung cấp thông tin gian dối về lợi ích của việc tham gia mạng lưới bán hàng đa cấp để dụ dỗ người tham gia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 Cung cấp thông tin sai lệch về tính chất, công dụng của hàng hoá để dụ dỗ người tham gia bán hàng đa cấp.</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doanh nghiệp bán hàng đa cấp từ 70.000.000 đồng đến 100.000.000 đồng đối với một trong các hành vi quy định tại khoản 1 Điều này thuộc trường hợp quy mô hoạt động bán hàng đa cấp diễn ra trong phạm vi từ hai tỉnh, thành phố trực thuộc trung ương trở lên.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Điều này, doanh nghiệp bán hàng đa cấp bất chính còn có thể bị áp dụng một hoặc một số hình thức xử phạt bổ sung và biện pháp khắc phục hậu quả quy định tại khoản 3 Điều 30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49" w:name="muc_5"/>
      <w:r w:rsidRPr="00006A50">
        <w:rPr>
          <w:rFonts w:eastAsia="Times New Roman" w:cs="Times New Roman"/>
          <w:b/>
          <w:bCs/>
          <w:color w:val="000000"/>
          <w:sz w:val="24"/>
          <w:szCs w:val="24"/>
        </w:rPr>
        <w:t>MỤC 5: HÀNH VI VI PHẠM QUY ĐỊNH PHÁP LUẬT VỀ CẠNH TRANH KHÁC</w:t>
      </w:r>
      <w:bookmarkEnd w:id="4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0" w:name="dieu_39"/>
      <w:r w:rsidRPr="00006A50">
        <w:rPr>
          <w:rFonts w:eastAsia="Times New Roman" w:cs="Times New Roman"/>
          <w:b/>
          <w:bCs/>
          <w:color w:val="000000"/>
          <w:sz w:val="24"/>
          <w:szCs w:val="24"/>
        </w:rPr>
        <w:t>Điều 39.</w:t>
      </w:r>
      <w:r w:rsidRPr="00006A50">
        <w:rPr>
          <w:rFonts w:eastAsia="Times New Roman" w:cs="Times New Roman"/>
          <w:color w:val="000000"/>
          <w:sz w:val="24"/>
          <w:szCs w:val="24"/>
        </w:rPr>
        <w:t> Hành vi vi phạm quy định về cung cấp thông tin, tài liệu</w:t>
      </w:r>
      <w:bookmarkEnd w:id="50"/>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cảnh cáo hoặc phạt tiền từ 500.000 đồng đến 1.000.000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a) Không cung cấp hoặc cung cấp không đầy đủ thông tin, tài liệu mà mình biết theo yêu cầu của cơ quan có thẩm quyền;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Cung cấp thông tin, tài liệu không đúng thời hạn theo yêu cầu của cơ quan có thẩm quyền;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Cố tình cung cấp thông tin, tài liệu gian dối hoặc làm sai lệch thông tin, tài liệu;</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Cưỡng ép người khác cung cấp thông tin, tài liệu gian dối;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Che dấu, tiêu huỷ các thông tin, tài liệu liên quan đến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1.000.000 đồng đến 3.000.000 đồng đối với một trong các hành vi quy định tại khoản 1 Điều này trong trường hợp thông tin, tài liệu yêu cầu cung cấp là đặc biệt quan trọng đối với việc giải quyết đúng đắn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quy định tại khoản 1 và 2 Điều này, tổ chức, cá nhân vi phạm còn có thể bị buộc phải cung cấp lại các thông tin, tài liệu đầy đủ.</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1" w:name="dieu_40"/>
      <w:r w:rsidRPr="00006A50">
        <w:rPr>
          <w:rFonts w:eastAsia="Times New Roman" w:cs="Times New Roman"/>
          <w:b/>
          <w:bCs/>
          <w:color w:val="000000"/>
          <w:sz w:val="24"/>
          <w:szCs w:val="24"/>
        </w:rPr>
        <w:t>Điều 40.</w:t>
      </w:r>
      <w:r w:rsidRPr="00006A50">
        <w:rPr>
          <w:rFonts w:eastAsia="Times New Roman" w:cs="Times New Roman"/>
          <w:color w:val="000000"/>
          <w:sz w:val="24"/>
          <w:szCs w:val="24"/>
        </w:rPr>
        <w:t> Hành vi vi phạm các quy định khác liên quan đến quá trình điều tra và xử lý vụ việc cạnh tranh</w:t>
      </w:r>
      <w:bookmarkEnd w:id="5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cảnh cáo hoặc phạt tiền từ 500.000 đồng đến 1.000.000 đồng đối với một trong các hành vi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Cố ý hoặc vô ý tiết lộ thông tin, tài liệu thuộc bí mật điều tra;</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Gây rối tại phiên điều trần.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 từ 1.000.000 đồng đến 3.000.000 đồng đối với một trong các hành vi quy định tại khoản 1 Điều này trong trường hợp thông tin, tài liệu bị tiết lộ là đặc biệt quan trọng đối với việc giải quyết đúng đắn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Ngoài việc bị phạt tiền theo quy định tại khoản 1 và 2 Điều này, tổ chức, cá nhân vi phạm còn bị tịch thu tang vật, phương tiện được sử dụng để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2" w:name="dieu_41"/>
      <w:r w:rsidRPr="00006A50">
        <w:rPr>
          <w:rFonts w:eastAsia="Times New Roman" w:cs="Times New Roman"/>
          <w:b/>
          <w:bCs/>
          <w:color w:val="000000"/>
          <w:sz w:val="24"/>
          <w:szCs w:val="24"/>
        </w:rPr>
        <w:t>Điều 41.</w:t>
      </w:r>
      <w:r w:rsidRPr="00006A50">
        <w:rPr>
          <w:rFonts w:eastAsia="Times New Roman" w:cs="Times New Roman"/>
          <w:color w:val="000000"/>
          <w:sz w:val="24"/>
          <w:szCs w:val="24"/>
        </w:rPr>
        <w:t> Hành vi thoả thuận hạn chế cạnh tranh, tập trung kinh tế trước khi có quyết định cho hưởng miễn trừ của cơ quan có thẩm quyền</w:t>
      </w:r>
      <w:bookmarkEnd w:id="5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Phạt tiền từ 30.000.000 đồng đến 50.000.000 đồng nhưng không vượt quá 3% tổng doanh thu trong năm tài chính trước năm thực hiện hành vi vi phạm của từng doanh nghiệp là các bên tham gia thoả thuận hạn chế cạnh tranh có thị phần kết hợp từ 30% trở lên trên thị trường liên quan đối với hành vi thoả thuận hạn chế cạnh tranh thuộc trường hợp được miễn trừ theo quy định tại Điều 10 của Luật Cạnh tranh trước khi có quyết định cho hưởng miễn trừ của Bộ trưởng Bộ Thương mại.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 xml:space="preserve">2. Phạt tiền từ 30.000.000 đồng đến 50.000.000 đồng nhưng không vượt quá 3% tổng doanh thu trong năm tài chính trước năm thực hiện hành vi vi phạm của các doanh nghiệp nhận sáp nhập và doanh nghiệp bị sáp nhập đối với hành vi sáp nhập thuộc trường hợp miễn trừ theo quy định tại </w:t>
      </w:r>
      <w:r w:rsidRPr="00006A50">
        <w:rPr>
          <w:rFonts w:eastAsia="Times New Roman" w:cs="Times New Roman"/>
          <w:color w:val="000000"/>
          <w:sz w:val="24"/>
          <w:szCs w:val="24"/>
        </w:rPr>
        <w:lastRenderedPageBreak/>
        <w:t>Điều 19 của Luật Cạnh tranh trước khi có quyết định cho hưởng miễn trừ của Thủ tướng Chính phủ hoặc của Bộ trưởng Bộ Thương mại.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Phạt tiền từ 30.000.000 đồng đến 50.000.000 đồng nhưng không vượt quá 3% tổng doanh thu trong năm tài chính trước năm thực hiện hành vi vi phạm của các doanh nghiệp bị hợp nhất đối với hành vi hợp nhất thuộc trường hợp miễn trừ theo quy định tại Điều 19 của Luật Cạnh tranh trước khi có quyết định cho hưởng miễn trừ của Thủ tướng Chính phủ hoặc của Bộ trưởng Bộ Thương mại.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Phạt tiền từ 30.000.000 đồng đến 50.000.000 đồng nhưng không vượt quá 3% tổng doanh thu trong năm tài chính trước năm thực hiện hành vi vi phạm của doanh nghiệp mua lại đối với hành vi mua lại thuộc trường hợp miễn trừ theo quy định tại Điều 19 của Luật Cạnh tranh trước khi có quyết định cho hưởng miễn trừ của Thủ tướng Chính phủ hoặc của Bộ trưởng Bộ Thương mại.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5. Phạt tiền từ 30.000.000 đồng đến 50.000.000 đồng nhưng không vượt quá 3% tổng doanh thu trong năm tài chính trước năm thực hiện hành vi vi phạm của các bên liên doanh tương ứng đối với hành vi liên doanh thuộc trường hợp miễn trừ theo quy định tại Điều 19 của Luật Cạnh tranh trước khi có quyết định cho hưởng miễn trừ của Thủ tướng Chính phủ hoặc của Bộ trưởng Bộ Thương mại.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3" w:name="chuong_3"/>
      <w:r w:rsidRPr="00006A50">
        <w:rPr>
          <w:rFonts w:eastAsia="Times New Roman" w:cs="Times New Roman"/>
          <w:b/>
          <w:bCs/>
          <w:color w:val="000000"/>
          <w:sz w:val="24"/>
          <w:szCs w:val="24"/>
        </w:rPr>
        <w:t>Chương 3:</w:t>
      </w:r>
      <w:bookmarkEnd w:id="53"/>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bookmarkStart w:id="54" w:name="chuong_3_name"/>
      <w:r w:rsidRPr="00006A50">
        <w:rPr>
          <w:rFonts w:eastAsia="Times New Roman" w:cs="Times New Roman"/>
          <w:b/>
          <w:bCs/>
          <w:color w:val="000000"/>
          <w:sz w:val="24"/>
          <w:szCs w:val="24"/>
        </w:rPr>
        <w:t>THẨM QUYỀN, THỦ TỤC XỬ LÝ VI PHẠM PHÁP LUẬT VỀ CẠNH TRANH</w:t>
      </w:r>
      <w:bookmarkEnd w:id="5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5" w:name="muc_1_1"/>
      <w:r w:rsidRPr="00006A50">
        <w:rPr>
          <w:rFonts w:eastAsia="Times New Roman" w:cs="Times New Roman"/>
          <w:b/>
          <w:bCs/>
          <w:color w:val="000000"/>
          <w:sz w:val="24"/>
          <w:szCs w:val="24"/>
        </w:rPr>
        <w:t>MỤC 1: THẨM QUYỀN XỬ LÝ VI PHẠM PHÁP LUẬT VỀ CẠNH TRANH</w:t>
      </w:r>
      <w:bookmarkEnd w:id="5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6" w:name="dieu_42"/>
      <w:r w:rsidRPr="00006A50">
        <w:rPr>
          <w:rFonts w:eastAsia="Times New Roman" w:cs="Times New Roman"/>
          <w:b/>
          <w:bCs/>
          <w:color w:val="000000"/>
          <w:sz w:val="24"/>
          <w:szCs w:val="24"/>
        </w:rPr>
        <w:t>Điều 42.</w:t>
      </w:r>
      <w:r w:rsidRPr="00006A50">
        <w:rPr>
          <w:rFonts w:eastAsia="Times New Roman" w:cs="Times New Roman"/>
          <w:color w:val="000000"/>
          <w:sz w:val="24"/>
          <w:szCs w:val="24"/>
        </w:rPr>
        <w:t> Thẩm quyền của cơ quan quản lý cạnh tranh và Thủ trưởng cơ quan quản lý cạnh tranh</w:t>
      </w:r>
      <w:bookmarkEnd w:id="5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Đối với hành vi vi phạm quy định về cạnh tranh không lành mạnh và hành vi vi phạm pháp luật về cạnh tranh khác quy định tại Mục 5 Chương II của Nghị định này, cơ quan quản lý cạnh tranh có thẩm quyền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Phạt cảnh cáo;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Phạt tiền;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Tịch thu tang vật, phương tiện được sử dụng để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Buộc đối tượng vi phạm phải cải chính công khai.</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Thủ trưởng cơ quan quản lý cạnh tranh có thẩm quyền quyết định áp dụng, thay đổi hoặc huỷ bỏ biện pháp ngăn chặn hành chính khi chưa chuyển hồ sơ vụ việc cạnh tranh cho Hội đồng cạnh tranh xử lý.</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7" w:name="dieu_43"/>
      <w:r w:rsidRPr="00006A50">
        <w:rPr>
          <w:rFonts w:eastAsia="Times New Roman" w:cs="Times New Roman"/>
          <w:b/>
          <w:bCs/>
          <w:color w:val="000000"/>
          <w:sz w:val="24"/>
          <w:szCs w:val="24"/>
        </w:rPr>
        <w:t>Điều 43.</w:t>
      </w:r>
      <w:r w:rsidRPr="00006A50">
        <w:rPr>
          <w:rFonts w:eastAsia="Times New Roman" w:cs="Times New Roman"/>
          <w:color w:val="000000"/>
          <w:sz w:val="24"/>
          <w:szCs w:val="24"/>
        </w:rPr>
        <w:t> Thẩm quyền của Hội đồng cạnh tranh, Hội đồng xử lý vụ việc cạnh tranh</w:t>
      </w:r>
      <w:bookmarkEnd w:id="5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Đối với hành vi vi phạm quy định về kiểm soát hành vi hạn chế cạnh tranh, Hội đồng cạnh tranh và Hội đồng xử lý vụ việc cạnh tranh có các thẩm quyền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1. Phạt cảnh cáo.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Phạt tiền.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Tịch thu tang vật, phương tiện được sử dụng để thực hiện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Áp dụng các biện pháp quy định tại các điểm c, d, đ, e, g, h, i và k khoản 4 Điều 4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5. Yêu cầu cơ quan có thẩm quyền thu hồi giấy chứng nhận đăng ký kinh doanh, tước quyền sử dụng giấy phép, chứng chỉ hành nghề.</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6. Yêu cầu cơ quan có thẩm quyền áp dụng các biện pháp quy định tại điểm a và b khoản 4 Điều 4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8" w:name="dieu_44"/>
      <w:r w:rsidRPr="00006A50">
        <w:rPr>
          <w:rFonts w:eastAsia="Times New Roman" w:cs="Times New Roman"/>
          <w:b/>
          <w:bCs/>
          <w:color w:val="000000"/>
          <w:sz w:val="24"/>
          <w:szCs w:val="24"/>
        </w:rPr>
        <w:t>Điều 44.</w:t>
      </w:r>
      <w:r w:rsidRPr="00006A50">
        <w:rPr>
          <w:rFonts w:eastAsia="Times New Roman" w:cs="Times New Roman"/>
          <w:color w:val="000000"/>
          <w:sz w:val="24"/>
          <w:szCs w:val="24"/>
        </w:rPr>
        <w:t> Thẩm quyền của Chủ tịch Hội đồng cạnh tranh</w:t>
      </w:r>
      <w:bookmarkEnd w:id="5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Chủ tịch Hội đồng cạnh tranh có quyền quyết định áp dụng, thay đổi, huỷ bỏ biện pháp ngăn chặn hành chính sau khi tiếp nhận hồ sơ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59" w:name="dieu_45"/>
      <w:r w:rsidRPr="00006A50">
        <w:rPr>
          <w:rFonts w:eastAsia="Times New Roman" w:cs="Times New Roman"/>
          <w:b/>
          <w:bCs/>
          <w:color w:val="000000"/>
          <w:sz w:val="24"/>
          <w:szCs w:val="24"/>
        </w:rPr>
        <w:t>Điều 45.</w:t>
      </w:r>
      <w:r w:rsidRPr="00006A50">
        <w:rPr>
          <w:rFonts w:eastAsia="Times New Roman" w:cs="Times New Roman"/>
          <w:color w:val="000000"/>
          <w:sz w:val="24"/>
          <w:szCs w:val="24"/>
        </w:rPr>
        <w:t> Thẩm quyền của các cơ quan khác</w:t>
      </w:r>
      <w:bookmarkEnd w:id="5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Thẩm quyền xử phạt các hành vi vi phạm quy định về cạnh tranh không lành mạnh liên quan đến quyền sở hữu trí tuệ của các cơ quan khác được xác định theo các quy định của pháp luật về xử lý vi phạm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0" w:name="muc_2_1"/>
      <w:r w:rsidRPr="00006A50">
        <w:rPr>
          <w:rFonts w:eastAsia="Times New Roman" w:cs="Times New Roman"/>
          <w:b/>
          <w:bCs/>
          <w:color w:val="000000"/>
          <w:sz w:val="24"/>
          <w:szCs w:val="24"/>
        </w:rPr>
        <w:t>MỤC 2: THỦ TỤC XỬ LÝ VI PHẠM PHÁP LUẬT VỀ CẠNH TRANH</w:t>
      </w:r>
      <w:bookmarkEnd w:id="60"/>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1" w:name="dieu_46"/>
      <w:r w:rsidRPr="00006A50">
        <w:rPr>
          <w:rFonts w:eastAsia="Times New Roman" w:cs="Times New Roman"/>
          <w:b/>
          <w:bCs/>
          <w:color w:val="000000"/>
          <w:sz w:val="24"/>
          <w:szCs w:val="24"/>
        </w:rPr>
        <w:t>Điều 46.</w:t>
      </w:r>
      <w:r w:rsidRPr="00006A50">
        <w:rPr>
          <w:rFonts w:eastAsia="Times New Roman" w:cs="Times New Roman"/>
          <w:color w:val="000000"/>
          <w:sz w:val="24"/>
          <w:szCs w:val="24"/>
        </w:rPr>
        <w:t> Thủ tục xử lý vi phạm pháp luật về cạnh tranh</w:t>
      </w:r>
      <w:bookmarkEnd w:id="6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Thủ tục xử lý vi phạm pháp luật về cạnh tranh bao gồm các thủ tục sau đây: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Thủ tục xử lý hành vi vi phạm quy định về kiểm soát hành vi hạn chế cạnh tranh và cạnh tranh không lành mạnh.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Thủ tục áp dụng, thay đổi và huỷ bỏ các biện pháp ngăn chặn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Thủ tục xử lý hành vi vi phạm quy định pháp luật về cạnh tranh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2" w:name="dieu_47"/>
      <w:r w:rsidRPr="00006A50">
        <w:rPr>
          <w:rFonts w:eastAsia="Times New Roman" w:cs="Times New Roman"/>
          <w:b/>
          <w:bCs/>
          <w:color w:val="000000"/>
          <w:sz w:val="24"/>
          <w:szCs w:val="24"/>
        </w:rPr>
        <w:t>Điều 47.</w:t>
      </w:r>
      <w:r w:rsidRPr="00006A50">
        <w:rPr>
          <w:rFonts w:eastAsia="Times New Roman" w:cs="Times New Roman"/>
          <w:color w:val="000000"/>
          <w:sz w:val="24"/>
          <w:szCs w:val="24"/>
        </w:rPr>
        <w:t> Thủ tục xử lý hành vi vi phạm quy định về kiểm soát hành vi hạn chế cạnh tranh và cạnh tranh không lành mạnh</w:t>
      </w:r>
      <w:bookmarkEnd w:id="6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Việc xử lý hành vi vi phạm quy định về kiểm soát hành vi hạn chế cạnh tranh và cạnh tranh không lành mạnh phải tuân theo trình tự, thủ tục trong tố tụng cạnh tranh được quy định tại Chương V của Luật Cạnh tranh và các quy định tại Chương III của Nghị định số 116/2005/NĐ-CP ngày 15 tháng 9 năm 2005 của Chính phủ quy định chi tiết thi hành một số điều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3" w:name="dieu_48"/>
      <w:r w:rsidRPr="00006A50">
        <w:rPr>
          <w:rFonts w:eastAsia="Times New Roman" w:cs="Times New Roman"/>
          <w:b/>
          <w:bCs/>
          <w:color w:val="000000"/>
          <w:sz w:val="24"/>
          <w:szCs w:val="24"/>
        </w:rPr>
        <w:t>Điều 48.</w:t>
      </w:r>
      <w:r w:rsidRPr="00006A50">
        <w:rPr>
          <w:rFonts w:eastAsia="Times New Roman" w:cs="Times New Roman"/>
          <w:color w:val="000000"/>
          <w:sz w:val="24"/>
          <w:szCs w:val="24"/>
        </w:rPr>
        <w:t> Thủ tục áp dụng, thay đổi, huỷ bỏ biện pháp ngăn chặn hành chính</w:t>
      </w:r>
      <w:bookmarkEnd w:id="6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Thủ tục áp dụng, thay đổi, huỷ bỏ biện pháp ngăn chặn hành chính thực hiện theo các quy định tại Điều 61 của Luật Cạnh tranh và các quy định tại Mục 7 Chương III của Nghị định số 116/2005/NĐ-CP ngày 15 tháng 9 năm 2005 của Chính phủ quy định chi tiết thi hành một số điều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4" w:name="dieu_49"/>
      <w:r w:rsidRPr="00006A50">
        <w:rPr>
          <w:rFonts w:eastAsia="Times New Roman" w:cs="Times New Roman"/>
          <w:b/>
          <w:bCs/>
          <w:color w:val="000000"/>
          <w:sz w:val="24"/>
          <w:szCs w:val="24"/>
        </w:rPr>
        <w:t>Điều 49.</w:t>
      </w:r>
      <w:r w:rsidRPr="00006A50">
        <w:rPr>
          <w:rFonts w:eastAsia="Times New Roman" w:cs="Times New Roman"/>
          <w:color w:val="000000"/>
          <w:sz w:val="24"/>
          <w:szCs w:val="24"/>
        </w:rPr>
        <w:t> Lập biên bản về hành vi vi phạm quy định pháp luật về cạnh tranh khác</w:t>
      </w:r>
      <w:bookmarkEnd w:id="6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Khi phát hiện hành vi vi phạm quy định pháp luật về cạnh tranh khác quy định tại Mục 5 Chương II của Nghị định này, người có thẩm quyền phải ra lệnh đình chỉ ngay hành vi vi phạm và tiến hành lập biên bản về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Nội dung của biên bản bao gồm: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Ngày, tháng, năm, địa điểm lập biên bản;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Họ, tên, chức vụ của người lập biên bản;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Họ, tên, địa chỉ, nghề nghiệp cá nhân vi phạm hoặc tên, địa chỉ tổ chức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Ngày, tháng, năm, địa điểm xảy ra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Mô tả hành vi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Các biện pháp ngăn chặn vi phạm hành chính (nếu có);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 Tình trạng tang vật, phương tiện bị tạm giữ (nếu có);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h) Lời khai của cá nhân vi phạm hoặc đại diện tổ chức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i) Họ, tên, địa chỉ, lời khai của người chứng kiến, người bị thiệt hại hoặc đại diện tổ chức bị thiệt hại (nếu có).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Biên bản phải được lập thành ít nhất hai bản; phải được người lập biên bản và cá nhân vi phạm hoặc đại diện của tổ chức vi phạm ký; nếu có người chứng kiến, người bị thiệt hại hoặc đại diện tổ chức bị thiệt hại thì họ cùng phải ký vào biên bản; trong trường hợp biên bản gồm nhiều tờ, thì những người được quy định tại khoản này phải ký vào từng tờ biên bản. Nếu cá nhân vi phạm, đại diện của tổ chức vi phạm, người chứng kiến, người bị thiệt hại hoặc đại diện tổ chức bị thiệt hại từ chối ký thì người lập biên bản phải ghi rõ lý do vào biên bản.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Biên bản lập xong phải được giao cho cá nhân, tổ chức vi phạm một bản; nếu vi phạm vượt quá thẩm quyền xử lý của người lập biên bản thì người đó phải gửi biên bản đến người có thẩm quyền xử lý.</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5" w:name="dieu_50"/>
      <w:r w:rsidRPr="00006A50">
        <w:rPr>
          <w:rFonts w:eastAsia="Times New Roman" w:cs="Times New Roman"/>
          <w:b/>
          <w:bCs/>
          <w:color w:val="000000"/>
          <w:sz w:val="24"/>
          <w:szCs w:val="24"/>
        </w:rPr>
        <w:t>Điều 50.</w:t>
      </w:r>
      <w:r w:rsidRPr="00006A50">
        <w:rPr>
          <w:rFonts w:eastAsia="Times New Roman" w:cs="Times New Roman"/>
          <w:color w:val="000000"/>
          <w:sz w:val="24"/>
          <w:szCs w:val="24"/>
        </w:rPr>
        <w:t> Thời hạn ra quyết định xử lý vi phạm quy định pháp luật về cạnh tranh khác</w:t>
      </w:r>
      <w:bookmarkEnd w:id="6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Thời hạn ra quyết định xử lý vi phạm quy định pháp luật về cạnh tranh khác là 10 ngày, kể từ ngày lập biên bản về hành vi vi phạm pháp luật về cạnh tranh; trong trường hợp có nhiều tình tiết phức tạp thì thời hạn này là 30 ngày.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2. Trong trường hợp xét cần có thêm thời gian để xác minh, thu thập chứng cứ thì người có thẩm quyền phải báo cáo thủ trưởng trực tiếp của mình bằng văn bản để xin gia hạn một lần nhưng không quá 30 ngày; việc gia hạn phải bằng văn bản. Quá thời hạn nói trên, người có thẩm quyền xử lý không được ra quyết định xử lý vi phạm. Người có thẩm quyền xử lý nếu có lỗi trong việc để quá thời hạn mà không ra quyết định xử lý vi phạm thì bị xử lý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6" w:name="dieu_51"/>
      <w:r w:rsidRPr="00006A50">
        <w:rPr>
          <w:rFonts w:eastAsia="Times New Roman" w:cs="Times New Roman"/>
          <w:b/>
          <w:bCs/>
          <w:color w:val="000000"/>
          <w:sz w:val="24"/>
          <w:szCs w:val="24"/>
        </w:rPr>
        <w:t>Điều 51.</w:t>
      </w:r>
      <w:r w:rsidRPr="00006A50">
        <w:rPr>
          <w:rFonts w:eastAsia="Times New Roman" w:cs="Times New Roman"/>
          <w:color w:val="000000"/>
          <w:sz w:val="24"/>
          <w:szCs w:val="24"/>
        </w:rPr>
        <w:t> Quyết định xử lý vi phạm quy định pháp luật về cạnh tranh khác</w:t>
      </w:r>
      <w:bookmarkEnd w:id="6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Nội dung của quyết định xử lý vi phạm quy định pháp luật về cạnh tranh khác bao gồm: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a) Ngày, tháng, năm ra quyết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b) Họ, tên, chức vụ của người ra quyết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c) Họ, tên, địa chỉ, nghề nghiệp của cá nhân vi phạm hoặc tên, địa chỉ của tổ chức vi phạm;</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d) Hành vi vi phạm; những tình tiết liên quan đến việc giải quyết vi phạm; điều, khoản của văn bản quy phạm pháp luật được áp dụng;</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đ) Hình thức xử phạt chính, hình thức xử phạt bổ sung (nếu có), các biện pháp khắc phục hậu quả (nếu có);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e) Thời hạn, nơi thi hành quyết định và chữ ký của người ra quyết định;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g) Quyền khiếu nại đối với quyết định xử lý vi phạm quy định pháp luật về cạnh tranh khác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Quyết định xử lý vi phạm quy định pháp luật về cạnh tranh khác phải ghi rõ cá nhân, tổ chức bị xử lý nếu không tự nguyện chấp hành thì bị cưỡng chế thi hành.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Quyết định xử lý vi phạm quy định pháp luật về cạnh tranh khác có hiệu lực kể từ ngày ký, trừ trường hợp trong quyết định quy định ngày có hiệu lực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Quyết định xử lý vi phạm quy định pháp luật về cạnh tranh khác được gửi cho cá nhân, tổ chức bị xử lý và cơ quan thu tiền phạt trong thời hạn 03 ngày làm việc, kể từ ngày ra quyết định xử lý vi phạm quy định pháp luật về cạnh tranh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7" w:name="dieu_52"/>
      <w:r w:rsidRPr="00006A50">
        <w:rPr>
          <w:rFonts w:eastAsia="Times New Roman" w:cs="Times New Roman"/>
          <w:b/>
          <w:bCs/>
          <w:color w:val="000000"/>
          <w:sz w:val="24"/>
          <w:szCs w:val="24"/>
        </w:rPr>
        <w:t>Điều 52.</w:t>
      </w:r>
      <w:r w:rsidRPr="00006A50">
        <w:rPr>
          <w:rFonts w:eastAsia="Times New Roman" w:cs="Times New Roman"/>
          <w:color w:val="000000"/>
          <w:sz w:val="24"/>
          <w:szCs w:val="24"/>
        </w:rPr>
        <w:t> Chuyển hồ sơ trong trường hợp vụ việc cạnh tranh có dấu hiệu tội phạm</w:t>
      </w:r>
      <w:bookmarkEnd w:id="6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Nếu xét thấy hành vi vi phạm có dấu hiệu tội phạm thì cơ quan có thẩm quyền phải chuyển giao hồ sơ, tang vật, phương tiện vi phạm cho cơ quan tiến hành tố tụng hình sự theo quy định tại Điều 94 của Luật Cạnh tranh. Trong trường hợp đã ra quyết định xử lý vi phạm thì cơ quan đã ra quyết định xử lý vi phạm phải có quyết định huỷ bỏ quyết định xử lý vi phạm. Trong thời hạn 03 ngày làm việc, kể từ ngày huỷ bỏ quyết định xử lý vi phạm, cơ quan đã ra quyết định xử lý vi phạm phải chuyển hồ sơ vi phạm cho cơ quan tiến hành tố tụng hình sự.</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8" w:name="muc_3_1"/>
      <w:r w:rsidRPr="00006A50">
        <w:rPr>
          <w:rFonts w:eastAsia="Times New Roman" w:cs="Times New Roman"/>
          <w:b/>
          <w:bCs/>
          <w:color w:val="000000"/>
          <w:sz w:val="24"/>
          <w:szCs w:val="24"/>
        </w:rPr>
        <w:t>MỤC 3: THỦ TỤC THI HÀNH QUYẾT ĐỊNH XỬ LÝ VỤ VIỆC CẠNH TRANH, QUYẾT ĐỊNH XỬ LÝ VI PHẠM QUY ĐỊNH PHÁP LUẬT VỀ CẠNH TRANH KHÁC</w:t>
      </w:r>
      <w:bookmarkEnd w:id="6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69" w:name="dieu_53"/>
      <w:r w:rsidRPr="00006A50">
        <w:rPr>
          <w:rFonts w:eastAsia="Times New Roman" w:cs="Times New Roman"/>
          <w:b/>
          <w:bCs/>
          <w:color w:val="000000"/>
          <w:sz w:val="24"/>
          <w:szCs w:val="24"/>
        </w:rPr>
        <w:lastRenderedPageBreak/>
        <w:t>Điều 53.</w:t>
      </w:r>
      <w:r w:rsidRPr="00006A50">
        <w:rPr>
          <w:rFonts w:eastAsia="Times New Roman" w:cs="Times New Roman"/>
          <w:color w:val="000000"/>
          <w:sz w:val="24"/>
          <w:szCs w:val="24"/>
        </w:rPr>
        <w:t> Chấp hành quyết định xử lý vụ việc cạnh tranh, quyết định xử lý vi phạm quy định pháp luật về cạnh tranh khác</w:t>
      </w:r>
      <w:bookmarkEnd w:id="6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Doanh nghiệp bị xử lý vi phạm phải chấp hành quyết định xử lý vụ việc cạnh tranh của Hội đồng xử lý vụ việc cạnh tranh và của cơ quan quản lý cạnh tranh trong thời hạn 30 ngày, kể từ ngày quyết định xử lý vụ việc cạnh tranh có hiệu lực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Tổ chức, cá nhân bị xử lý vi phạm quy định pháp luật về cạnh tranh khác quy định tại Mục 5 Chương II của Nghị định này phải chấp hành quyết định xử lý vi phạm quy định pháp luật về cạnh tranh khác trong thời hạn 10 ngày, kể từ ngày được giao quyết định xử lý vi phạm quy định pháp luật về cạnh tranh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Hết thời hạn quy định tại khoản 1 và 2 Điều này, nếu tổ chức, cá nhân bị xử lý không tự nguyện thi hành thì sẽ bị cưỡng chế thi hành theo quy định tại Điều 55 và 56 của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0" w:name="dieu_54"/>
      <w:r w:rsidRPr="00006A50">
        <w:rPr>
          <w:rFonts w:eastAsia="Times New Roman" w:cs="Times New Roman"/>
          <w:b/>
          <w:bCs/>
          <w:color w:val="000000"/>
          <w:sz w:val="24"/>
          <w:szCs w:val="24"/>
        </w:rPr>
        <w:t>Điều 54.</w:t>
      </w:r>
      <w:r w:rsidRPr="00006A50">
        <w:rPr>
          <w:rFonts w:eastAsia="Times New Roman" w:cs="Times New Roman"/>
          <w:color w:val="000000"/>
          <w:sz w:val="24"/>
          <w:szCs w:val="24"/>
        </w:rPr>
        <w:t> Nơi nộp tiền phạt</w:t>
      </w:r>
      <w:bookmarkEnd w:id="70"/>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Tổ chức, cá nhân bị phạt tiền theo quyết định xử lý vụ việc cạnh tranh, quyết định xử lý vi phạm quy định pháp luật về cạnh tranh khác phải nộp tiền phạt tại Kho bạc Nhà nước ghi trong quyết định xử lý vụ việc cạnh tranh, quyết định xử lý vi phạm quy định pháp luật về cạnh tranh khác.</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1" w:name="dieu_55"/>
      <w:r w:rsidRPr="00006A50">
        <w:rPr>
          <w:rFonts w:eastAsia="Times New Roman" w:cs="Times New Roman"/>
          <w:b/>
          <w:bCs/>
          <w:color w:val="000000"/>
          <w:sz w:val="24"/>
          <w:szCs w:val="24"/>
        </w:rPr>
        <w:t>Điều 55.</w:t>
      </w:r>
      <w:r w:rsidRPr="00006A50">
        <w:rPr>
          <w:rFonts w:eastAsia="Times New Roman" w:cs="Times New Roman"/>
          <w:color w:val="000000"/>
          <w:sz w:val="24"/>
          <w:szCs w:val="24"/>
        </w:rPr>
        <w:t> Cưỡng chế thi hành quyết định xử lý vụ việc cạnh tranh</w:t>
      </w:r>
      <w:bookmarkEnd w:id="7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Hết thời hạn quy định tại khoản 1 Điều 53 của Nghị đinh này, tổ chức, cá nhân bị xử lý vi phạm không tự nguyện thi hành, không khởi kiện ra Toà án theo quy định tại mục 7 Chương V của Luật Cạnh tranh, bên được thi hành quyết định xử lý vụ việc cạnh tranh có quyền làm đơn yêu cầu cơ quan có thẩm quyền quy định tại khoản 2 và 3 Điều này tổ chức thi hành quyết định xử lý vụ việc cạnh tranh thuộc phạm vi chức năng, nhiệm vụ, quyền hạn của cơ quan đó.</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Cơ quan có thẩm quyền có trách nhiệm thu hồi giấy chứng nhận đăng ký kinh doanh, tước các giấy phép, chứng chỉ hành nghề do mình đã cấp cho các doanh nghiệp vi phạm pháp luật về cạnh tranh theo yêu cầu của Hội đồng xử lý vụ việc cạnh tranh trong quyết định xử lý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Các cơ quan có thẩm quyền khác có trách nhiệm tổ chức thực hiện các biện pháp buộc cơ cấu lại doanh nghiệp lạm dụng vị trí thống lĩnh thị trường, chia, tách doanh nghiệp đã sáp nhập, hợp nhất hoặc buộc bán lại phần doanh nghiệp đã mua theo yêu cầu của Hội đồng xử lý vụ việc cạnh tranh trong quyết định xử lý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Cơ quan thi hành án dân sự cấp tỉnh, thành phố trực thuộc Trung ương nơi có trụ sở, nơi cư trú hoặc nơi có tài sản của bên phải thi hành có trách nhiệm tổ chức thực hiện phần quyết định liên quan đến tài sản của quyết định xử lý vụ việc cạnh tranh theo yêu cầu của bên được thi hành quyết định xử lý vụ việc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2" w:name="dieu_56"/>
      <w:r w:rsidRPr="00006A50">
        <w:rPr>
          <w:rFonts w:eastAsia="Times New Roman" w:cs="Times New Roman"/>
          <w:b/>
          <w:bCs/>
          <w:color w:val="000000"/>
          <w:sz w:val="24"/>
          <w:szCs w:val="24"/>
        </w:rPr>
        <w:t>Điều 56.</w:t>
      </w:r>
      <w:r w:rsidRPr="00006A50">
        <w:rPr>
          <w:rFonts w:eastAsia="Times New Roman" w:cs="Times New Roman"/>
          <w:color w:val="000000"/>
          <w:sz w:val="24"/>
          <w:szCs w:val="24"/>
        </w:rPr>
        <w:t> Cưỡng chế thi hành quyết định xử lý vi phạm quy định pháp luật về cạnh tranh khác</w:t>
      </w:r>
      <w:bookmarkEnd w:id="7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Hết thời hạn quy định tại khoản 2 Điều 53 của Nghị định này, nếu tổ chức, cá nhân bị xử lý vi phạm không tự nguyện chấp hành quyết định xử lý vi phạm quy định pháp luật về cạnh tranh khác sẽ bị cưỡng chế thi hành theo thủ tục quy định tại Điều 66 và 67 của Pháp lệnh Xử lý vi phạm hành chính và Nghị định số 37/2005/NĐ-CP ngày 18 tháng 3 năm 2005 quy định thủ tục áp dụng các biện pháp cưỡng chế thi hành quyết định xử phạt vi phạm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3" w:name="chuong_4"/>
      <w:r w:rsidRPr="00006A50">
        <w:rPr>
          <w:rFonts w:eastAsia="Times New Roman" w:cs="Times New Roman"/>
          <w:b/>
          <w:bCs/>
          <w:color w:val="000000"/>
          <w:sz w:val="24"/>
          <w:szCs w:val="24"/>
        </w:rPr>
        <w:t>Chương 4:</w:t>
      </w:r>
      <w:bookmarkEnd w:id="73"/>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bookmarkStart w:id="74" w:name="chuong_4_name"/>
      <w:r w:rsidRPr="00006A50">
        <w:rPr>
          <w:rFonts w:eastAsia="Times New Roman" w:cs="Times New Roman"/>
          <w:b/>
          <w:bCs/>
          <w:color w:val="000000"/>
          <w:sz w:val="24"/>
          <w:szCs w:val="24"/>
        </w:rPr>
        <w:t>GIẢI QUYẾT KHIẾU NẠI, TỐ CÁO</w:t>
      </w:r>
      <w:bookmarkEnd w:id="74"/>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5" w:name="dieu_57"/>
      <w:r w:rsidRPr="00006A50">
        <w:rPr>
          <w:rFonts w:eastAsia="Times New Roman" w:cs="Times New Roman"/>
          <w:b/>
          <w:bCs/>
          <w:color w:val="000000"/>
          <w:sz w:val="24"/>
          <w:szCs w:val="24"/>
        </w:rPr>
        <w:t>Điều 57.</w:t>
      </w:r>
      <w:r w:rsidRPr="00006A50">
        <w:rPr>
          <w:rFonts w:eastAsia="Times New Roman" w:cs="Times New Roman"/>
          <w:color w:val="000000"/>
          <w:sz w:val="24"/>
          <w:szCs w:val="24"/>
        </w:rPr>
        <w:t> Khiếu nại, tố cáo</w:t>
      </w:r>
      <w:bookmarkEnd w:id="75"/>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Tổ chức, cá nhân bị xử lý vi phạm pháp luật về cạnh tranh hoặc người đại diện hợp pháp của họ có quyền khiếu nại với cơ quan có thẩm quyền về các quyết định xử lý vụ việc cạnh tranh, quyết định xử lý vi phạm quy định pháp luật về cạnh tranh khác của Hội đồng xử lý vụ việc cạnh tranh và cơ quan quản lý cạnh tranh, khi có căn cứ cho rằng quyết định đó là trái với pháp luật, xâm hại quyền và lợi ích hợp pháp của mình.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Tổ chức, cá nhân bị áp dụng biện pháp ngăn chặn hành chính hoặc người đại diện hợp pháp của họ có quyền khiếu nại với cơ quan có thẩm quyền về quyết định áp dụng các biện pháp ngăn chặn hành chính của Chủ tịch Hội đồng cạnh tranh và Thủ trưởng cơ quan quản lý cạnh tranh, khi có căn cứ cho rằng quyết định đó là trái với pháp luật, xâm hại quyền và lợi ích hợp pháp của mình.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3. Mọi công dân có quyền tố cáo với các cơ quan có thẩm quyền về các hành vi vi phạm pháp luật trong quá trình xử lý vi phạm pháp luật về cạnh tranh gây thiệt hại hoặc đe doạ gây thiệt hại lợi ích của Nhà nước, quyền và lợi ích hợp pháp của cơ quan, tổ chức và cá nhân.</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4. Mọi tổ chức, cá nhân khiếu nại, tố cáo sai sự thật làm ảnh hưởng đến uy tín của người bị khiếu nại, tố cáo sẽ bị xử lý theo quy định của pháp luật.</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6" w:name="dieu_58"/>
      <w:r w:rsidRPr="00006A50">
        <w:rPr>
          <w:rFonts w:eastAsia="Times New Roman" w:cs="Times New Roman"/>
          <w:b/>
          <w:bCs/>
          <w:color w:val="000000"/>
          <w:sz w:val="24"/>
          <w:szCs w:val="24"/>
        </w:rPr>
        <w:t>Điều 58.</w:t>
      </w:r>
      <w:r w:rsidRPr="00006A50">
        <w:rPr>
          <w:rFonts w:eastAsia="Times New Roman" w:cs="Times New Roman"/>
          <w:color w:val="000000"/>
          <w:sz w:val="24"/>
          <w:szCs w:val="24"/>
        </w:rPr>
        <w:t> Giải quyết khiếu nại đối với quyết định xử lý vụ việc cạnh tranh của Hội đồng xử lý vụ việc cạnh tranh, cơ quan quản lý cạnh tranh</w:t>
      </w:r>
      <w:bookmarkEnd w:id="76"/>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Việc giải quyết khiếu nại đối với quyết định xử lý vụ việc cạnh tranh của Hội đồng xử lý vụ việc cạnh tranh, cơ quan quản lý cạnh tranh thực hiện theo quy định tại Mục 7 Chương V của Luật Cạnh tranh và các quy định tại Mục 10 Chương III của Nghị định số 116/2005/NĐ-CP ngày 15 tháng 9 năm 2005 của Chính phủ quy định chi tiết thi hành một số điều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7" w:name="dieu_59"/>
      <w:r w:rsidRPr="00006A50">
        <w:rPr>
          <w:rFonts w:eastAsia="Times New Roman" w:cs="Times New Roman"/>
          <w:b/>
          <w:bCs/>
          <w:color w:val="000000"/>
          <w:sz w:val="24"/>
          <w:szCs w:val="24"/>
        </w:rPr>
        <w:t>Điều 59.</w:t>
      </w:r>
      <w:r w:rsidRPr="00006A50">
        <w:rPr>
          <w:rFonts w:eastAsia="Times New Roman" w:cs="Times New Roman"/>
          <w:color w:val="000000"/>
          <w:sz w:val="24"/>
          <w:szCs w:val="24"/>
        </w:rPr>
        <w:t> Giải quyết khiếu nại đối với quyết định xử lý vi phạm quy định pháp luật về cạnh tranh khác, quyết định áp dụng biện pháp ngăn chặn hành chính</w:t>
      </w:r>
      <w:bookmarkEnd w:id="77"/>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Việc giải quyết khiếu nại đối với quyết định xử lý vi phạm quy định pháp luật về cạnh tranh khác, quyết định áp dụng biện pháp ngăn chặn hành chính thực hiện theo quy định của pháp luật về khiếu nại, tố cáo.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8" w:name="dieu_60"/>
      <w:r w:rsidRPr="00006A50">
        <w:rPr>
          <w:rFonts w:eastAsia="Times New Roman" w:cs="Times New Roman"/>
          <w:b/>
          <w:bCs/>
          <w:color w:val="000000"/>
          <w:sz w:val="24"/>
          <w:szCs w:val="24"/>
        </w:rPr>
        <w:t>Điều 60.</w:t>
      </w:r>
      <w:r w:rsidRPr="00006A50">
        <w:rPr>
          <w:rFonts w:eastAsia="Times New Roman" w:cs="Times New Roman"/>
          <w:color w:val="000000"/>
          <w:sz w:val="24"/>
          <w:szCs w:val="24"/>
        </w:rPr>
        <w:t> Giải quyết tố cáo</w:t>
      </w:r>
      <w:bookmarkEnd w:id="78"/>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lastRenderedPageBreak/>
        <w:t>Việc giải quyết tố cáo của công dân về hành vi vi phạm pháp luật trong quá trình xử lý vi phạm pháp luật về cạnh tranh thực hiện theo quy định của pháp luật về khiếu nại, tố cáo.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79" w:name="dieu_61"/>
      <w:r w:rsidRPr="00006A50">
        <w:rPr>
          <w:rFonts w:eastAsia="Times New Roman" w:cs="Times New Roman"/>
          <w:b/>
          <w:bCs/>
          <w:color w:val="000000"/>
          <w:sz w:val="24"/>
          <w:szCs w:val="24"/>
        </w:rPr>
        <w:t>Điều 61.</w:t>
      </w:r>
      <w:r w:rsidRPr="00006A50">
        <w:rPr>
          <w:rFonts w:eastAsia="Times New Roman" w:cs="Times New Roman"/>
          <w:color w:val="000000"/>
          <w:sz w:val="24"/>
          <w:szCs w:val="24"/>
        </w:rPr>
        <w:t> Khởi kiện hành chính</w:t>
      </w:r>
      <w:bookmarkEnd w:id="79"/>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Trường hợp không đồng ý với quyết định giải quyết khiếu nại của cơ quan có thẩm quyền theo quy định tại Điều 58 của Nghị định này, các bên liên quan có quyền khởi kiện vụ án hành chính đối với một phần hoặc toàn bộ nội dung của quyết định giải quyết khiếu nại theo quy định tại Điều 115 của Luật Cạnh tranh.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Trường hợp không đồng ý với quyết định giải quyết khiếu nại của cơ quan có thẩm quyền theo quy định tại Điều 59 của Nghị định này, các bên liên quan có quyền khởi kiện vụ án hành chính đối với một phần hoặc toàn bộ nội dung của quyết định giải quyết khiếu nại theo quy định của pháp luật về khiếu nại, tố cáo và thủ tục giải quyết các vụ án hành chính.</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80" w:name="chuong_4_1"/>
      <w:r w:rsidRPr="00006A50">
        <w:rPr>
          <w:rFonts w:eastAsia="Times New Roman" w:cs="Times New Roman"/>
          <w:b/>
          <w:bCs/>
          <w:color w:val="000000"/>
          <w:sz w:val="24"/>
          <w:szCs w:val="24"/>
        </w:rPr>
        <w:t>Chương 4:</w:t>
      </w:r>
      <w:bookmarkEnd w:id="80"/>
    </w:p>
    <w:p w:rsidR="00006A50" w:rsidRPr="00006A50" w:rsidRDefault="00006A50" w:rsidP="00006A50">
      <w:pPr>
        <w:shd w:val="clear" w:color="auto" w:fill="FFFFFF"/>
        <w:spacing w:after="120" w:line="260" w:lineRule="atLeast"/>
        <w:jc w:val="center"/>
        <w:rPr>
          <w:rFonts w:eastAsia="Times New Roman" w:cs="Times New Roman"/>
          <w:color w:val="000000"/>
          <w:sz w:val="24"/>
          <w:szCs w:val="24"/>
        </w:rPr>
      </w:pPr>
      <w:bookmarkStart w:id="81" w:name="chuong_4_1_name"/>
      <w:r w:rsidRPr="00006A50">
        <w:rPr>
          <w:rFonts w:eastAsia="Times New Roman" w:cs="Times New Roman"/>
          <w:b/>
          <w:bCs/>
          <w:color w:val="000000"/>
          <w:sz w:val="24"/>
          <w:szCs w:val="24"/>
        </w:rPr>
        <w:t>ĐIỀU KHOẢN THI HÀNH</w:t>
      </w:r>
      <w:bookmarkEnd w:id="81"/>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82" w:name="dieu_62"/>
      <w:r w:rsidRPr="00006A50">
        <w:rPr>
          <w:rFonts w:eastAsia="Times New Roman" w:cs="Times New Roman"/>
          <w:b/>
          <w:bCs/>
          <w:color w:val="000000"/>
          <w:sz w:val="24"/>
          <w:szCs w:val="24"/>
        </w:rPr>
        <w:t>Điều 62.</w:t>
      </w:r>
      <w:r w:rsidRPr="00006A50">
        <w:rPr>
          <w:rFonts w:eastAsia="Times New Roman" w:cs="Times New Roman"/>
          <w:color w:val="000000"/>
          <w:sz w:val="24"/>
          <w:szCs w:val="24"/>
        </w:rPr>
        <w:t> Hiệu lực thi hành</w:t>
      </w:r>
      <w:bookmarkEnd w:id="82"/>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Nghị định này có hiệu lực thi hành sau 15 ngày, kể từ ngày đăng Công báo.</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bookmarkStart w:id="83" w:name="dieu_63"/>
      <w:r w:rsidRPr="00006A50">
        <w:rPr>
          <w:rFonts w:eastAsia="Times New Roman" w:cs="Times New Roman"/>
          <w:b/>
          <w:bCs/>
          <w:color w:val="000000"/>
          <w:sz w:val="24"/>
          <w:szCs w:val="24"/>
        </w:rPr>
        <w:t>Điều 63.</w:t>
      </w:r>
      <w:r w:rsidRPr="00006A50">
        <w:rPr>
          <w:rFonts w:eastAsia="Times New Roman" w:cs="Times New Roman"/>
          <w:color w:val="000000"/>
          <w:sz w:val="24"/>
          <w:szCs w:val="24"/>
        </w:rPr>
        <w:t> Trách nhiệm thi hành</w:t>
      </w:r>
      <w:bookmarkEnd w:id="83"/>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1. Bộ trưởng Bộ Thương mại chịu trách nhiệm tổ chức thi hành Nghị định này.</w:t>
      </w:r>
    </w:p>
    <w:p w:rsidR="00006A50" w:rsidRPr="00006A50" w:rsidRDefault="00006A50" w:rsidP="00006A50">
      <w:pPr>
        <w:shd w:val="clear" w:color="auto" w:fill="FFFFFF"/>
        <w:spacing w:after="120" w:line="260" w:lineRule="atLeast"/>
        <w:jc w:val="both"/>
        <w:rPr>
          <w:rFonts w:eastAsia="Times New Roman" w:cs="Times New Roman"/>
          <w:color w:val="000000"/>
          <w:sz w:val="24"/>
          <w:szCs w:val="24"/>
        </w:rPr>
      </w:pPr>
      <w:r w:rsidRPr="00006A50">
        <w:rPr>
          <w:rFonts w:eastAsia="Times New Roman" w:cs="Times New Roman"/>
          <w:color w:val="000000"/>
          <w:sz w:val="24"/>
          <w:szCs w:val="24"/>
        </w:rPr>
        <w:t>2. Các Bộ trưởng, Thủ trưởng cơ quan ngang Bộ, Thủ trưởng cơ quan trực thuộc Chính phủ, Chủ tịch Ủy ban nhân dân tỉnh, thành phố trực thuộc Trung ương chịu trách nhiệm thi hành Nghị định này.</w:t>
      </w:r>
    </w:p>
    <w:p w:rsidR="003C3FB5" w:rsidRPr="00006A50" w:rsidRDefault="003C3FB5">
      <w:pPr>
        <w:rPr>
          <w:rFonts w:cs="Times New Roman"/>
          <w:sz w:val="24"/>
          <w:szCs w:val="24"/>
        </w:rPr>
      </w:pPr>
    </w:p>
    <w:sectPr w:rsidR="003C3FB5" w:rsidRPr="00006A50" w:rsidSect="003C3FB5">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16815" w:rsidRDefault="00516815" w:rsidP="00006A50">
      <w:pPr>
        <w:spacing w:after="0" w:line="240" w:lineRule="auto"/>
      </w:pPr>
      <w:r>
        <w:separator/>
      </w:r>
    </w:p>
  </w:endnote>
  <w:endnote w:type="continuationSeparator" w:id="0">
    <w:p w:rsidR="00516815" w:rsidRDefault="00516815" w:rsidP="00006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06A50" w:rsidRPr="00006A50" w:rsidRDefault="00006A50">
    <w:pPr>
      <w:pStyle w:val="Footer"/>
      <w:rPr>
        <w:b/>
        <w:color w:val="FF0000"/>
        <w:sz w:val="24"/>
        <w:szCs w:val="24"/>
      </w:rPr>
    </w:pPr>
    <w:r w:rsidRPr="00006A50">
      <w:rPr>
        <w:b/>
        <w:color w:val="FF0000"/>
        <w:sz w:val="24"/>
        <w:szCs w:val="24"/>
      </w:rPr>
      <w:t>TỔNG ĐÀI TƯ VẤN PHÁP LUẬT TRỰC TUYẾN 24/7: 1900.</w:t>
    </w:r>
    <w:r w:rsidR="00933161">
      <w:rPr>
        <w:b/>
        <w:color w:val="FF0000"/>
        <w:sz w:val="24"/>
        <w:szCs w:val="24"/>
      </w:rPr>
      <w:t>6568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16815" w:rsidRDefault="00516815" w:rsidP="00006A50">
      <w:pPr>
        <w:spacing w:after="0" w:line="240" w:lineRule="auto"/>
      </w:pPr>
      <w:r>
        <w:separator/>
      </w:r>
    </w:p>
  </w:footnote>
  <w:footnote w:type="continuationSeparator" w:id="0">
    <w:p w:rsidR="00516815" w:rsidRDefault="00516815" w:rsidP="00006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770" w:type="dxa"/>
      <w:tblInd w:w="-318" w:type="dxa"/>
      <w:tblBorders>
        <w:bottom w:val="single" w:sz="4" w:space="0" w:color="auto"/>
      </w:tblBorders>
      <w:tblLayout w:type="fixed"/>
      <w:tblLook w:val="04A0" w:firstRow="1" w:lastRow="0" w:firstColumn="1" w:lastColumn="0" w:noHBand="0" w:noVBand="1"/>
    </w:tblPr>
    <w:tblGrid>
      <w:gridCol w:w="2412"/>
      <w:gridCol w:w="8358"/>
    </w:tblGrid>
    <w:tr w:rsidR="00933161" w:rsidRPr="00A67571" w:rsidTr="00F6555B">
      <w:trPr>
        <w:trHeight w:val="1208"/>
      </w:trPr>
      <w:tc>
        <w:tcPr>
          <w:tcW w:w="2411" w:type="dxa"/>
          <w:tcBorders>
            <w:top w:val="nil"/>
            <w:left w:val="nil"/>
            <w:bottom w:val="single" w:sz="4" w:space="0" w:color="auto"/>
            <w:right w:val="nil"/>
          </w:tcBorders>
          <w:vAlign w:val="center"/>
          <w:hideMark/>
        </w:tcPr>
        <w:p w:rsidR="00933161" w:rsidRPr="00A67571" w:rsidRDefault="00933161" w:rsidP="00933161">
          <w:pPr>
            <w:rPr>
              <w:b/>
              <w:sz w:val="20"/>
            </w:rPr>
          </w:pPr>
          <w:r w:rsidRPr="00A67571">
            <w:rPr>
              <w:b/>
              <w:sz w:val="20"/>
            </w:rPr>
            <w:t xml:space="preserve">        </w:t>
          </w:r>
          <w:r w:rsidRPr="004D651E">
            <w:rPr>
              <w:b/>
              <w:noProof/>
              <w:sz w:val="20"/>
            </w:rPr>
            <w:drawing>
              <wp:inline distT="0" distB="0" distL="0" distR="0">
                <wp:extent cx="1428750" cy="866775"/>
                <wp:effectExtent l="0" t="0" r="0" b="0"/>
                <wp:docPr id="2" name="Picture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8750" cy="866775"/>
                        </a:xfrm>
                        <a:prstGeom prst="rect">
                          <a:avLst/>
                        </a:prstGeom>
                        <a:noFill/>
                        <a:ln>
                          <a:noFill/>
                        </a:ln>
                      </pic:spPr>
                    </pic:pic>
                  </a:graphicData>
                </a:graphic>
              </wp:inline>
            </w:drawing>
          </w:r>
          <w:r w:rsidRPr="00A67571">
            <w:rPr>
              <w:b/>
              <w:sz w:val="20"/>
            </w:rPr>
            <w:t xml:space="preserve">                                                                                                                                                                                                                                                                                                                                                                                                                                                                                              </w:t>
          </w:r>
        </w:p>
      </w:tc>
      <w:tc>
        <w:tcPr>
          <w:tcW w:w="8356" w:type="dxa"/>
          <w:tcBorders>
            <w:top w:val="nil"/>
            <w:left w:val="nil"/>
            <w:bottom w:val="single" w:sz="4" w:space="0" w:color="auto"/>
            <w:right w:val="nil"/>
          </w:tcBorders>
          <w:vAlign w:val="center"/>
          <w:hideMark/>
        </w:tcPr>
        <w:p w:rsidR="00933161" w:rsidRPr="00A67571" w:rsidRDefault="00933161" w:rsidP="00933161">
          <w:pPr>
            <w:pStyle w:val="Heading6"/>
            <w:spacing w:before="0"/>
            <w:rPr>
              <w:rFonts w:ascii="Times New Roman" w:hAnsi="Times New Roman"/>
              <w:sz w:val="20"/>
            </w:rPr>
          </w:pPr>
          <w:r w:rsidRPr="00A67571">
            <w:rPr>
              <w:rFonts w:ascii="Times New Roman" w:hAnsi="Times New Roman"/>
              <w:sz w:val="20"/>
            </w:rPr>
            <w:t xml:space="preserve">CÔNG TY </w:t>
          </w:r>
          <w:r>
            <w:rPr>
              <w:rFonts w:ascii="Times New Roman" w:hAnsi="Times New Roman"/>
              <w:sz w:val="20"/>
            </w:rPr>
            <w:t>LUẬT TNHH DƯƠNG GIA</w:t>
          </w:r>
          <w:r w:rsidRPr="00A67571">
            <w:rPr>
              <w:rFonts w:ascii="Times New Roman" w:hAnsi="Times New Roman"/>
              <w:sz w:val="20"/>
            </w:rPr>
            <w:t xml:space="preserve"> –</w:t>
          </w:r>
          <w:r>
            <w:rPr>
              <w:rFonts w:ascii="Times New Roman" w:hAnsi="Times New Roman"/>
              <w:sz w:val="20"/>
            </w:rPr>
            <w:t xml:space="preserve"> DUONG GIA LAW </w:t>
          </w:r>
          <w:r w:rsidRPr="00A67571">
            <w:rPr>
              <w:rFonts w:ascii="Times New Roman" w:hAnsi="Times New Roman"/>
              <w:sz w:val="20"/>
            </w:rPr>
            <w:t xml:space="preserve">COMPANY LIMITED </w:t>
          </w:r>
        </w:p>
        <w:p w:rsidR="00933161" w:rsidRPr="00A67571" w:rsidRDefault="00933161" w:rsidP="00933161">
          <w:pPr>
            <w:rPr>
              <w:sz w:val="20"/>
            </w:rPr>
          </w:pPr>
          <w:r w:rsidRPr="00A67571">
            <w:rPr>
              <w:sz w:val="20"/>
            </w:rPr>
            <w:t>No 2305, VNT Tower, 19  Nguyen Trai Street, Thanh Xuan District, Hanoi City, Viet Nam</w:t>
          </w:r>
        </w:p>
        <w:p w:rsidR="00933161" w:rsidRPr="00A67571" w:rsidRDefault="00933161" w:rsidP="00933161">
          <w:pPr>
            <w:rPr>
              <w:sz w:val="20"/>
            </w:rPr>
          </w:pPr>
          <w:r w:rsidRPr="00A67571">
            <w:rPr>
              <w:sz w:val="20"/>
            </w:rPr>
            <w:t>Tel:</w:t>
          </w:r>
          <w:r>
            <w:rPr>
              <w:sz w:val="20"/>
            </w:rPr>
            <w:t xml:space="preserve">   1900.6568      </w:t>
          </w:r>
          <w:r w:rsidRPr="00A67571">
            <w:rPr>
              <w:sz w:val="20"/>
            </w:rPr>
            <w:t xml:space="preserve">  Fax: 04.3562.7716</w:t>
          </w:r>
        </w:p>
        <w:p w:rsidR="00933161" w:rsidRPr="00A67571" w:rsidRDefault="00933161" w:rsidP="00933161">
          <w:pPr>
            <w:rPr>
              <w:sz w:val="20"/>
            </w:rPr>
          </w:pPr>
          <w:r w:rsidRPr="00A67571">
            <w:rPr>
              <w:sz w:val="20"/>
            </w:rPr>
            <w:t xml:space="preserve">Email: </w:t>
          </w:r>
          <w:hyperlink r:id="rId2" w:history="1">
            <w:r w:rsidRPr="00776A8D">
              <w:rPr>
                <w:rStyle w:val="Hyperlink"/>
                <w:sz w:val="20"/>
              </w:rPr>
              <w:t>lienhe@luatduonggia.vn</w:t>
            </w:r>
          </w:hyperlink>
          <w:r w:rsidRPr="00A67571">
            <w:rPr>
              <w:sz w:val="20"/>
            </w:rPr>
            <w:t xml:space="preserve">    Website: </w:t>
          </w:r>
          <w:hyperlink r:id="rId3" w:history="1">
            <w:r w:rsidRPr="00B330C7">
              <w:rPr>
                <w:rStyle w:val="Hyperlink"/>
                <w:sz w:val="20"/>
              </w:rPr>
              <w:t>http://www.luatduonggia.vn</w:t>
            </w:r>
          </w:hyperlink>
        </w:p>
      </w:tc>
    </w:tr>
  </w:tbl>
  <w:p w:rsidR="00006A50" w:rsidRPr="00933161" w:rsidRDefault="00006A50" w:rsidP="00933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006A50"/>
    <w:rsid w:val="00006A50"/>
    <w:rsid w:val="002164AC"/>
    <w:rsid w:val="003C3FB5"/>
    <w:rsid w:val="00516815"/>
    <w:rsid w:val="00933161"/>
    <w:rsid w:val="00BF56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D226A3-6AC2-4117-A351-08147DD5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3FB5"/>
  </w:style>
  <w:style w:type="paragraph" w:styleId="Heading6">
    <w:name w:val="heading 6"/>
    <w:basedOn w:val="Normal"/>
    <w:next w:val="Normal"/>
    <w:link w:val="Heading6Char"/>
    <w:unhideWhenUsed/>
    <w:qFormat/>
    <w:rsid w:val="00006A50"/>
    <w:pPr>
      <w:spacing w:before="240" w:after="60" w:line="240" w:lineRule="auto"/>
      <w:outlineLvl w:val="5"/>
    </w:pPr>
    <w:rPr>
      <w:rFonts w:ascii="Calibri" w:eastAsia="Times New Roman" w:hAnsi="Calibri" w:cs="Times New Roman"/>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006A50"/>
    <w:pPr>
      <w:spacing w:before="100" w:beforeAutospacing="1" w:after="100" w:afterAutospacing="1" w:line="240" w:lineRule="auto"/>
    </w:pPr>
    <w:rPr>
      <w:rFonts w:eastAsia="Times New Roman" w:cs="Times New Roman"/>
      <w:sz w:val="24"/>
      <w:szCs w:val="24"/>
    </w:rPr>
  </w:style>
  <w:style w:type="character" w:styleId="Strong">
    <w:name w:val="Strong"/>
    <w:basedOn w:val="DefaultParagraphFont"/>
    <w:uiPriority w:val="22"/>
    <w:qFormat/>
    <w:rsid w:val="00006A50"/>
    <w:rPr>
      <w:b/>
      <w:bCs/>
    </w:rPr>
  </w:style>
  <w:style w:type="character" w:customStyle="1" w:styleId="apple-converted-space">
    <w:name w:val="apple-converted-space"/>
    <w:basedOn w:val="DefaultParagraphFont"/>
    <w:rsid w:val="00006A50"/>
  </w:style>
  <w:style w:type="paragraph" w:styleId="Header">
    <w:name w:val="header"/>
    <w:basedOn w:val="Normal"/>
    <w:link w:val="HeaderChar"/>
    <w:uiPriority w:val="99"/>
    <w:unhideWhenUsed/>
    <w:rsid w:val="00006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6A50"/>
  </w:style>
  <w:style w:type="paragraph" w:styleId="Footer">
    <w:name w:val="footer"/>
    <w:basedOn w:val="Normal"/>
    <w:link w:val="FooterChar"/>
    <w:uiPriority w:val="99"/>
    <w:unhideWhenUsed/>
    <w:rsid w:val="00006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6A50"/>
  </w:style>
  <w:style w:type="character" w:customStyle="1" w:styleId="Heading6Char">
    <w:name w:val="Heading 6 Char"/>
    <w:basedOn w:val="DefaultParagraphFont"/>
    <w:link w:val="Heading6"/>
    <w:rsid w:val="00006A50"/>
    <w:rPr>
      <w:rFonts w:ascii="Calibri" w:eastAsia="Times New Roman" w:hAnsi="Calibri" w:cs="Times New Roman"/>
      <w:b/>
      <w:bCs/>
      <w:sz w:val="22"/>
    </w:rPr>
  </w:style>
  <w:style w:type="character" w:styleId="Hyperlink">
    <w:name w:val="Hyperlink"/>
    <w:basedOn w:val="DefaultParagraphFont"/>
    <w:rsid w:val="00006A50"/>
    <w:rPr>
      <w:color w:val="000080"/>
      <w:u w:val="single"/>
    </w:rPr>
  </w:style>
  <w:style w:type="paragraph" w:styleId="BalloonText">
    <w:name w:val="Balloon Text"/>
    <w:basedOn w:val="Normal"/>
    <w:link w:val="BalloonTextChar"/>
    <w:uiPriority w:val="99"/>
    <w:semiHidden/>
    <w:unhideWhenUsed/>
    <w:rsid w:val="00006A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6A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1507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http://www.luatduonggia.vn" TargetMode="External"/><Relationship Id="rId2" Type="http://schemas.openxmlformats.org/officeDocument/2006/relationships/hyperlink" Target="mailto:lienhe@luatduonggia.vn"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28</Pages>
  <Words>9802</Words>
  <Characters>55872</Characters>
  <Application>Microsoft Office Word</Application>
  <DocSecurity>0</DocSecurity>
  <Lines>465</Lines>
  <Paragraphs>131</Paragraphs>
  <ScaleCrop>false</ScaleCrop>
  <Company/>
  <LinksUpToDate>false</LinksUpToDate>
  <CharactersWithSpaces>65543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DUNG CUN</dc:creator>
  <cp:lastModifiedBy>Giangpc</cp:lastModifiedBy>
  <cp:revision>2</cp:revision>
  <dcterms:created xsi:type="dcterms:W3CDTF">2014-09-24T07:24:00Z</dcterms:created>
  <dcterms:modified xsi:type="dcterms:W3CDTF">2015-08-16T11:36:00Z</dcterms:modified>
</cp:coreProperties>
</file>