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C71285" w:rsidRPr="00C71285" w:rsidTr="00AD0675">
        <w:tc>
          <w:tcPr>
            <w:tcW w:w="3348" w:type="dxa"/>
            <w:tcMar>
              <w:top w:w="0" w:type="dxa"/>
              <w:left w:w="108" w:type="dxa"/>
              <w:bottom w:w="0" w:type="dxa"/>
              <w:right w:w="108" w:type="dxa"/>
            </w:tcMar>
            <w:hideMark/>
          </w:tcPr>
          <w:p w:rsidR="00C71285" w:rsidRPr="00C71285" w:rsidRDefault="00C71285" w:rsidP="00AD067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CHÍNH PHỦ</w:t>
            </w:r>
            <w:r w:rsidRPr="00C71285">
              <w:rPr>
                <w:rFonts w:ascii="Times New Roman" w:hAnsi="Times New Roman"/>
                <w:b/>
                <w:bCs/>
                <w:sz w:val="24"/>
                <w:szCs w:val="24"/>
              </w:rPr>
              <w:br/>
              <w:t>--------</w:t>
            </w:r>
          </w:p>
        </w:tc>
        <w:tc>
          <w:tcPr>
            <w:tcW w:w="5631" w:type="dxa"/>
            <w:tcMar>
              <w:top w:w="0" w:type="dxa"/>
              <w:left w:w="108" w:type="dxa"/>
              <w:bottom w:w="0" w:type="dxa"/>
              <w:right w:w="108" w:type="dxa"/>
            </w:tcMar>
            <w:hideMark/>
          </w:tcPr>
          <w:p w:rsidR="00C71285" w:rsidRPr="00C71285" w:rsidRDefault="00C71285" w:rsidP="00AD067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CỘNG HÒA XÃ HỘI CHỦ NGHĨA VIỆT NAM</w:t>
            </w:r>
            <w:r w:rsidRPr="00C71285">
              <w:rPr>
                <w:rFonts w:ascii="Times New Roman" w:hAnsi="Times New Roman"/>
                <w:b/>
                <w:bCs/>
                <w:sz w:val="24"/>
                <w:szCs w:val="24"/>
              </w:rPr>
              <w:br/>
              <w:t>Độc lập - Tự do - Hạnh phúc</w:t>
            </w:r>
            <w:r w:rsidRPr="00C71285">
              <w:rPr>
                <w:rFonts w:ascii="Times New Roman" w:hAnsi="Times New Roman"/>
                <w:b/>
                <w:bCs/>
                <w:sz w:val="24"/>
                <w:szCs w:val="24"/>
              </w:rPr>
              <w:br/>
              <w:t>----------------</w:t>
            </w:r>
          </w:p>
        </w:tc>
      </w:tr>
      <w:tr w:rsidR="00C71285" w:rsidRPr="00C71285" w:rsidTr="00AD0675">
        <w:tc>
          <w:tcPr>
            <w:tcW w:w="3348" w:type="dxa"/>
            <w:tcMar>
              <w:top w:w="0" w:type="dxa"/>
              <w:left w:w="108" w:type="dxa"/>
              <w:bottom w:w="0" w:type="dxa"/>
              <w:right w:w="108" w:type="dxa"/>
            </w:tcMar>
            <w:hideMark/>
          </w:tcPr>
          <w:p w:rsidR="00C71285" w:rsidRPr="00C71285" w:rsidRDefault="00C71285" w:rsidP="00AD0675">
            <w:pPr>
              <w:pStyle w:val="NormalWeb"/>
              <w:spacing w:before="120" w:beforeAutospacing="0"/>
              <w:jc w:val="center"/>
              <w:rPr>
                <w:rFonts w:ascii="Times New Roman" w:hAnsi="Times New Roman"/>
                <w:sz w:val="24"/>
                <w:szCs w:val="24"/>
              </w:rPr>
            </w:pPr>
            <w:r w:rsidRPr="00C71285">
              <w:rPr>
                <w:rFonts w:ascii="Times New Roman" w:hAnsi="Times New Roman"/>
                <w:sz w:val="24"/>
                <w:szCs w:val="24"/>
              </w:rPr>
              <w:t>Số: 06/2014/NĐ-CP</w:t>
            </w:r>
          </w:p>
        </w:tc>
        <w:tc>
          <w:tcPr>
            <w:tcW w:w="5631" w:type="dxa"/>
            <w:tcMar>
              <w:top w:w="0" w:type="dxa"/>
              <w:left w:w="108" w:type="dxa"/>
              <w:bottom w:w="0" w:type="dxa"/>
              <w:right w:w="108" w:type="dxa"/>
            </w:tcMar>
            <w:hideMark/>
          </w:tcPr>
          <w:p w:rsidR="00C71285" w:rsidRPr="00C71285" w:rsidRDefault="00C71285" w:rsidP="00AD0675">
            <w:pPr>
              <w:pStyle w:val="NormalWeb"/>
              <w:spacing w:before="120" w:beforeAutospacing="0"/>
              <w:jc w:val="right"/>
              <w:rPr>
                <w:rFonts w:ascii="Times New Roman" w:hAnsi="Times New Roman"/>
                <w:sz w:val="24"/>
                <w:szCs w:val="24"/>
              </w:rPr>
            </w:pPr>
            <w:r w:rsidRPr="00C71285">
              <w:rPr>
                <w:rFonts w:ascii="Times New Roman" w:hAnsi="Times New Roman"/>
                <w:i/>
                <w:iCs/>
                <w:sz w:val="24"/>
                <w:szCs w:val="24"/>
              </w:rPr>
              <w:t>Hà Nội, ngày 21 tháng 01 năm 2014</w:t>
            </w:r>
          </w:p>
        </w:tc>
      </w:tr>
    </w:tbl>
    <w:p w:rsidR="00C71285" w:rsidRPr="00C71285" w:rsidRDefault="00C71285" w:rsidP="00C7128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 </w:t>
      </w:r>
    </w:p>
    <w:p w:rsidR="00C71285" w:rsidRPr="00C71285" w:rsidRDefault="00C71285" w:rsidP="00C7128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NGHỊ ĐỊNH</w:t>
      </w:r>
    </w:p>
    <w:p w:rsidR="00C71285" w:rsidRPr="00C71285" w:rsidRDefault="00C71285" w:rsidP="00C71285">
      <w:pPr>
        <w:pStyle w:val="NormalWeb"/>
        <w:spacing w:before="120" w:beforeAutospacing="0"/>
        <w:jc w:val="center"/>
        <w:rPr>
          <w:rFonts w:ascii="Times New Roman" w:hAnsi="Times New Roman"/>
          <w:sz w:val="24"/>
          <w:szCs w:val="24"/>
        </w:rPr>
      </w:pPr>
      <w:r w:rsidRPr="00C71285">
        <w:rPr>
          <w:rFonts w:ascii="Times New Roman" w:hAnsi="Times New Roman"/>
          <w:sz w:val="24"/>
          <w:szCs w:val="24"/>
        </w:rPr>
        <w:t xml:space="preserve">VỀ BIỆN PHÁP VẬN ĐỘNG QUẦN CHÚNG BẢO VỆ AN NINH QUỐC GIA, GIỮ GÌN TRẬT TỰ, </w:t>
      </w:r>
      <w:bookmarkStart w:id="0" w:name="_GoBack"/>
      <w:bookmarkEnd w:id="0"/>
      <w:r w:rsidRPr="00C71285">
        <w:rPr>
          <w:rFonts w:ascii="Times New Roman" w:hAnsi="Times New Roman"/>
          <w:sz w:val="24"/>
          <w:szCs w:val="24"/>
        </w:rPr>
        <w:t>AN TOÀN XÃ HỘI</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i/>
          <w:iCs/>
          <w:sz w:val="24"/>
          <w:szCs w:val="24"/>
        </w:rPr>
        <w:t>Căn cứ Luật tổ chức Chính phủ ngày 25 tháng 12 năm 2001;</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i/>
          <w:iCs/>
          <w:sz w:val="24"/>
          <w:szCs w:val="24"/>
        </w:rPr>
        <w:t>Căn cứ Luật an ninh quốc gia ngày 03 tháng 12 năm 2004;</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i/>
          <w:iCs/>
          <w:sz w:val="24"/>
          <w:szCs w:val="24"/>
        </w:rPr>
        <w:t>Căn cứ Luật Công an nhân dân ngày 29 tháng 11 năm 2005;</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i/>
          <w:iCs/>
          <w:sz w:val="24"/>
          <w:szCs w:val="24"/>
        </w:rPr>
        <w:t>Theo đề nghị của Bộ trưởng Bộ Công an;</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i/>
          <w:iCs/>
          <w:sz w:val="24"/>
          <w:szCs w:val="24"/>
        </w:rPr>
        <w:t>Chính phủ ban hành Nghị định về biện pháp vận động quần chúng bảo vệ an ninh quốc gia, giữ gìn trật tự, an toàn xã hội,</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Chương 1.</w:t>
      </w:r>
    </w:p>
    <w:p w:rsidR="00C71285" w:rsidRPr="00C71285" w:rsidRDefault="00C71285" w:rsidP="00C7128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QUY ĐỊNH CHUNG</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1. Phạm vi điều chỉnh</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Nghị định này quy định nguyên tắc, nội dung, hình thức, trình tự, thủ tục, thẩm quyền, trách nhiệm và bảo đảm điều kiện áp dụng biện pháp vận động quần chúng bảo vệ an ninh quốc gia, giữ gìn trật tự, an toàn xã hội (sau đây gọi chung là bảo vệ an ninh, trật tự); chế độ, chính sách đối với cơ quan, tổ chức, cá nhân tham gia công tác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2. Đối tượng áp dụng</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Nghị định này áp dụng đối với cơ quan, cán bộ chuyên trách bảo vệ an ninh, trật tự; cơ quan, tổ chức Việt Nam, cơ quan, tổ chức nước ngoài, tổ chức quốc tế hoạt động trên lãnh thổ nước Cộng hòa xã hội chủ nghĩa Việt Nam (sau đây gọi chung là cơ quan, tổ chức); công dân Việt Nam, cá nhân nước ngoài cư trú, hoạt động trên lãnh thổ nước Cộng hòa xã hội chủ nghĩa Việt Nam (sau đây gọi chung là cá nhân). Trường hợp điều ước quốc tế mà nước Cộng hòa xã hội chủ nghĩa Việt Nam là thành viên có quy định khác thì áp dụng quy định của điều ước quốc tế đó.</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3. Giải thích từ ngữ</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Trong Nghị định này, những từ ngữ sau đây được hiểu như sau:</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lastRenderedPageBreak/>
        <w:t>1. Biện pháp vận động quần chúng bảo vệ an ninh, trật tự là việc huy động và sử dụng sức mạnh của cơ quan, tổ chức, cá nhân tham gia công tác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Cơ quan chuyên trách bảo vệ an ninh, trật tự là cơ quan chỉ đạo, chỉ huy và đơn vị nghiệp vụ thuộc Công an nhân dân, Quân đội nhân dân được giao nhiệm vụ chuyên trách làm tham mưu, tổ chức, trực tiếp thực hiện nhiệm vụ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3. Cán bộ chuyên trách bảo vệ an ninh, trật tự là sĩ quan, hạ sĩ quan của cơ quan chuyên trách bảo vệ an ninh, trật tự thuộc Công an nhân dân, Quân đội nhân dân được giao nhiệm vụ chuyên trách tham mưu, tổ chức, trực tiếp thực hiện nhiệm vụ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4. Nguyên tắc áp dụng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Tuân thủ Hiến pháp, pháp luật nước Cộng hòa xã hội chủ nghĩa Việt Nam.</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Kết hợp chặt chẽ giữa biện pháp vận động quần chúng với các biện pháp công tác khác để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3. Không được lợi dụng biện pháp vận động quần chúng bảo vệ an ninh, trật tự để xâm phạm lợi ích của Nhà nước, quyền và lợi ích hợp pháp của cơ quan, tổ chức, cá nhân.</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Chương 2.</w:t>
      </w:r>
    </w:p>
    <w:p w:rsidR="00C71285" w:rsidRPr="00C71285" w:rsidRDefault="00C71285" w:rsidP="00C7128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NỘI DUNG, THẨM QUYỀN, TRÁCH NHIỆM, HÌNH THỨC, TRÌNH TỰ, THỦ TỤC VÀ BẢO ĐẢM ĐIỀU KIỆN ÁP DỤNG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5. Nội dung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Tham mưu, đề xuất cấp có thẩm quyền ban hành hoặc ban hành theo thẩm quyền chủ trương, quy định, kế hoạch huy động và sử dụng sức mạnh của cơ quan, tổ chức, cá nhân trong công tác bảo vệ an ninh, trật tự; xây dựng phong trào toàn dân bảo vệ an ninh Tổ quốc.</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Tuyên truyền, phổ biến, hướng dẫn cơ quan, tổ chức, cá nhân nâng cao nhận thức, ý thức chấp hành pháp luật, ý thức trách nhiệm trong công tác bảo vệ an ninh, trật tự; xây dựng phong trào toàn dân bảo vệ an ninh Tổ quốc.</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3. Tổ chức, động viên, hướng dẫn cơ quan, tổ chức, cá nhân tham gia công tác bảo vệ an ninh, trật tự; xây dựng phong trào toàn dân bảo vệ an ninh Tổ quốc.</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4. Chỉ đạo, hướng dẫn, kiểm tra việc xây dựng, thành lập và hoạt động của các mô hình tổ chức quần chúng bảo vệ an ninh, trật tự ở cơ sở.</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6. Thẩm quyền, trách nhiệm của cơ quan, cán bộ chuyên trách bảo vệ an ninh, trật tự khi áp dụng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Cơ quan, cán bộ chuyên trách bảo vệ an ninh, trật tự khi áp dụng biện pháp vận động quần chúng bảo vệ an ninh, trật tự có thẩm quyền:</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a) Thực hiện các nội dung của biện pháp vận động quần chúng bảo vệ an ninh, trật tự quy định tại Điều 5 Nghị định này;</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b) Sử dụng các biện pháp công tác cần thiết theo quy định của pháp luật để thực hiện các nội dung của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Cơ quan, cán bộ chuyên trách bảo vệ an ninh, trật tự khi áp dụng biện pháp vận động quần chúng có trách nhiệm:</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a) Thực hiện các biện pháp cần thiết theo quy định của pháp luật để bảo vệ danh dự, tài sản của các cơ quan, tổ chức; tính mạng, sức khỏe, danh dự, nhân phẩm và tài sản của cá nhân trong áp dụng biện pháp vận động quần chúng;</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b) Thực hiện theo thẩm quyền hoặc đề xuất cấp có thẩm quyền thực hiện chế độ, chính sách đối với cơ quan, tổ chức, cá nhân có thành tích hoặc bị thiệt hại trong áp dụng biện pháp vận động quần chúng bảo vệ an ninh, trật tự theo quy định của pháp luật.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7. Hình thức, trình tự, thủ tục áp dụng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Vận động quần chúng bảo vệ an ninh, trật tự được thực hiện bằng hình thức công khai hoặc bí mật, vận động rộng rãi, vận động tập trung hoặc vận động cá biệt.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Hình thức, trình tự, thủ tục áp dụng biện pháp vận động quần chúng trong các lĩnh vực công tác cụ thể được thực hiện theo quy định của Bộ trưởng Bộ Công an, Bộ trưởng Bộ Quốc phòng và quy định của pháp luật có liên quan.</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8. Trách nhiệm của cơ quan, tổ chức trong áp dụng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Phối hợp với cơ quan, cán bộ chuyên trách bảo vệ an ninh, trật tự trong thực hiện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Tạo điều kiện để các cá nhân trong cơ quan, tổ chức mình tham gia bảo vệ an ninh, trật tự theo quy định của pháp luật.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9. Trách nhiệm của cá nhân trong áp dụng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Chấp hành và thực hiện nghiêm chỉnh yêu cầu của cơ quan, cán bộ chuyên trách bảo vệ an ninh, trật tự trong áp dụng biện pháp vận động quần chúng bảo vệ an ninh, trật tự theo quy định của pháp luật.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Nâng cao nhận thức, ý thức chấp hành pháp luật; chủ động phòng ngừa, phát hiện, tố giác, đấu tranh chống tội phạm và các vi phạm pháp luật khác về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3. Tham gia các mô hình tổ chức quần chúng bảo vệ an ninh, trật tự ở cơ sở theo năng lực, điều kiện của bản thân; tham gia xây dựng khu dân cư, xã, phường, thị trấn, cơ quan, tổ chức, doanh nghiệp, nhà trường đạt tiêu chuẩn an toàn về an ninh, trật tự; đoàn kết xây dựng đời sống văn hóa ở khu dân cư theo quy định của pháp luật.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10. Chế độ, chính sách đối với cơ quan, tổ chức, cá nhân tham gia công tác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Cơ quan, tổ chức tham gia công tác bảo vệ an ninh, trật tự được bảo vệ về danh dự, tài sản; cá nhân tham gia công tác bảo vệ an ninh, trật tự được bảo vệ về tính mạng, sức khỏe, danh dự, nhân phẩm và tài sản theo quy định của pháp luật.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Cơ quan, tổ chức, cá nhân tham gia công tác bảo vệ an ninh, trật tự có thành tích thì được khen thưởng theo quy định của pháp luật về thi đua, khen thưởng.</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3. Cơ quan, tổ chức, cá nhân do tham gia công tác bảo vệ an ninh, trật tự mà bị tổn hại về danh dự thì được khôi phục, bị thiệt hại về tài sản thì được đền bù; cá nhân bị chết do trực tiếp tham gia công tác bảo vệ an ninh, trật tự thì được xem xét công nhận là liệt sĩ, nếu bị thương làm suy giảm khả năng lao động từ 21% trở lên thì được xem xét để hưởng chính sách như thương binh theo quy định của pháp luật về ưu đãi người có công với cách mạng.</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11. Kinh phí bảo đảm thực hiện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Nguồn kinh phí bảo đảm thực hiện biện pháp vận động quần chúng bảo vệ an ninh, trật tự:</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a) Ngân sách nhà nước theo quy định của Luật ngân sách nhà nước;</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b) Đóng góp, tài trợ của các cơ quan, tổ chức, cá nhân theo quy định của pháp luật.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Việc quản lý và sử dụng kinh phí bảo đảm thực hiện biện pháp vận động quần chúng bảo vệ an ninh, trật tự được thực hiện theo quy định của pháp luật.</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Chương 3.</w:t>
      </w:r>
    </w:p>
    <w:p w:rsidR="00C71285" w:rsidRPr="00C71285" w:rsidRDefault="00C71285" w:rsidP="00C7128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ĐIỀU KHOẢN THI HÀNH</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12. Hiệu lực thi hành</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Nghị định này có hiệu lực thi hành kể từ ngày 08 tháng 3 năm 2014.</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Điều 13. Trách nhiệm thi hành</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1. Bộ trưởng Bộ Công an chịu trách nhiệm chủ trì, phối hợp với các Bộ, ngành có liên quan hướng dẫn, kiểm tra, đôn đốc việc thực hiện Nghị định này.</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2. Bộ trưởng Bộ Quốc phòng có trách nhiệm phối hợp với Bộ Công an hướng dẫn, kiểm tra, đôn đốc việc thực hiện Nghị định này trong Quân đội nhân dân.</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3. Các Bộ trưởng, Thủ trưởng cơ quan ngang Bộ, Thủ trưởng cơ quan thuộc Chính phủ, Chủ tịch Ủy ban nhân dân tỉnh, thành phố trực thuộc Trung ương chịu trách nhiệm thi hành Nghị định này./.</w:t>
      </w:r>
    </w:p>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sz w:val="24"/>
          <w:szCs w:val="24"/>
        </w:rPr>
        <w:t> </w:t>
      </w:r>
    </w:p>
    <w:tbl>
      <w:tblPr>
        <w:tblW w:w="0" w:type="auto"/>
        <w:tblCellMar>
          <w:left w:w="0" w:type="dxa"/>
          <w:right w:w="0" w:type="dxa"/>
        </w:tblCellMar>
        <w:tblLook w:val="04A0"/>
      </w:tblPr>
      <w:tblGrid>
        <w:gridCol w:w="4428"/>
        <w:gridCol w:w="4428"/>
      </w:tblGrid>
      <w:tr w:rsidR="00C71285" w:rsidRPr="00C71285" w:rsidTr="00AD0675">
        <w:tc>
          <w:tcPr>
            <w:tcW w:w="4428" w:type="dxa"/>
            <w:tcMar>
              <w:top w:w="0" w:type="dxa"/>
              <w:left w:w="108" w:type="dxa"/>
              <w:bottom w:w="0" w:type="dxa"/>
              <w:right w:w="108" w:type="dxa"/>
            </w:tcMar>
            <w:hideMark/>
          </w:tcPr>
          <w:p w:rsidR="00C71285" w:rsidRPr="00C71285" w:rsidRDefault="00C71285" w:rsidP="00AD0675">
            <w:pPr>
              <w:pStyle w:val="NormalWeb"/>
              <w:spacing w:before="120" w:beforeAutospacing="0"/>
              <w:rPr>
                <w:rFonts w:ascii="Times New Roman" w:hAnsi="Times New Roman"/>
                <w:sz w:val="24"/>
                <w:szCs w:val="24"/>
              </w:rPr>
            </w:pPr>
            <w:r w:rsidRPr="00C71285">
              <w:rPr>
                <w:rFonts w:ascii="Times New Roman" w:hAnsi="Times New Roman"/>
                <w:b/>
                <w:bCs/>
                <w:i/>
                <w:iCs/>
                <w:sz w:val="24"/>
                <w:szCs w:val="24"/>
              </w:rPr>
              <w:t> </w:t>
            </w:r>
          </w:p>
          <w:p w:rsidR="00C71285" w:rsidRPr="00C71285" w:rsidRDefault="00C71285" w:rsidP="00AD0675">
            <w:pPr>
              <w:pStyle w:val="NormalWeb"/>
              <w:spacing w:before="120" w:beforeAutospacing="0"/>
              <w:rPr>
                <w:rFonts w:ascii="Times New Roman" w:hAnsi="Times New Roman"/>
                <w:sz w:val="24"/>
                <w:szCs w:val="24"/>
              </w:rPr>
            </w:pPr>
            <w:r w:rsidRPr="00C71285">
              <w:rPr>
                <w:rFonts w:ascii="Times New Roman" w:hAnsi="Times New Roman"/>
                <w:b/>
                <w:bCs/>
                <w:i/>
                <w:iCs/>
                <w:sz w:val="24"/>
                <w:szCs w:val="24"/>
              </w:rPr>
              <w:t>Nơi nhận:</w:t>
            </w:r>
            <w:r w:rsidRPr="00C71285">
              <w:rPr>
                <w:rFonts w:ascii="Times New Roman" w:hAnsi="Times New Roman"/>
                <w:b/>
                <w:bCs/>
                <w:i/>
                <w:iCs/>
                <w:sz w:val="24"/>
                <w:szCs w:val="24"/>
              </w:rPr>
              <w:br/>
            </w:r>
            <w:r w:rsidRPr="00C71285">
              <w:rPr>
                <w:rFonts w:ascii="Times New Roman" w:hAnsi="Times New Roman"/>
                <w:sz w:val="24"/>
                <w:szCs w:val="24"/>
              </w:rPr>
              <w:t>- Ban Bí thư Trung ương Đảng;</w:t>
            </w:r>
            <w:r w:rsidRPr="00C71285">
              <w:rPr>
                <w:rFonts w:ascii="Times New Roman" w:hAnsi="Times New Roman"/>
                <w:sz w:val="24"/>
                <w:szCs w:val="24"/>
              </w:rPr>
              <w:br/>
              <w:t>- Thủ tướng, các Phó Thủ tướng Chính phủ;</w:t>
            </w:r>
            <w:r w:rsidRPr="00C71285">
              <w:rPr>
                <w:rFonts w:ascii="Times New Roman" w:hAnsi="Times New Roman"/>
                <w:sz w:val="24"/>
                <w:szCs w:val="24"/>
              </w:rPr>
              <w:br/>
              <w:t>- Các Bộ, cơ quan ngang Bộ, cơ quan thuộc CP;</w:t>
            </w:r>
            <w:r w:rsidRPr="00C71285">
              <w:rPr>
                <w:rFonts w:ascii="Times New Roman" w:hAnsi="Times New Roman"/>
                <w:sz w:val="24"/>
                <w:szCs w:val="24"/>
              </w:rPr>
              <w:br/>
              <w:t>- HĐND, UBND các tỉnh, TP trực thuộc TW;</w:t>
            </w:r>
            <w:r w:rsidRPr="00C71285">
              <w:rPr>
                <w:rFonts w:ascii="Times New Roman" w:hAnsi="Times New Roman"/>
                <w:sz w:val="24"/>
                <w:szCs w:val="24"/>
              </w:rPr>
              <w:br/>
              <w:t>- Văn phòng Trung ương và các Ban của Đảng;</w:t>
            </w:r>
            <w:r w:rsidRPr="00C71285">
              <w:rPr>
                <w:rFonts w:ascii="Times New Roman" w:hAnsi="Times New Roman"/>
                <w:sz w:val="24"/>
                <w:szCs w:val="24"/>
              </w:rPr>
              <w:br/>
              <w:t>- Văn phòng Tổng Bí thư;</w:t>
            </w:r>
            <w:r w:rsidRPr="00C71285">
              <w:rPr>
                <w:rFonts w:ascii="Times New Roman" w:hAnsi="Times New Roman"/>
                <w:sz w:val="24"/>
                <w:szCs w:val="24"/>
              </w:rPr>
              <w:br/>
              <w:t>- Văn phòng Chủ tịch nước;</w:t>
            </w:r>
            <w:r w:rsidRPr="00C71285">
              <w:rPr>
                <w:rFonts w:ascii="Times New Roman" w:hAnsi="Times New Roman"/>
                <w:sz w:val="24"/>
                <w:szCs w:val="24"/>
              </w:rPr>
              <w:br/>
              <w:t>- Hội đồng Dân tộc và các Ủy ban của Quốc hội;</w:t>
            </w:r>
            <w:r w:rsidRPr="00C71285">
              <w:rPr>
                <w:rFonts w:ascii="Times New Roman" w:hAnsi="Times New Roman"/>
                <w:sz w:val="24"/>
                <w:szCs w:val="24"/>
              </w:rPr>
              <w:br/>
              <w:t>- Văn phòng Quốc hội;</w:t>
            </w:r>
            <w:r w:rsidRPr="00C71285">
              <w:rPr>
                <w:rFonts w:ascii="Times New Roman" w:hAnsi="Times New Roman"/>
                <w:sz w:val="24"/>
                <w:szCs w:val="24"/>
              </w:rPr>
              <w:br/>
              <w:t>- Tòa án nhân dân tối cao;</w:t>
            </w:r>
            <w:r w:rsidRPr="00C71285">
              <w:rPr>
                <w:rFonts w:ascii="Times New Roman" w:hAnsi="Times New Roman"/>
                <w:sz w:val="24"/>
                <w:szCs w:val="24"/>
              </w:rPr>
              <w:br/>
              <w:t>- Viện kiểm sát nhân dân tối cao;</w:t>
            </w:r>
            <w:r w:rsidRPr="00C71285">
              <w:rPr>
                <w:rFonts w:ascii="Times New Roman" w:hAnsi="Times New Roman"/>
                <w:sz w:val="24"/>
                <w:szCs w:val="24"/>
              </w:rPr>
              <w:br/>
              <w:t>- Kiểm toán Nhà nước;</w:t>
            </w:r>
            <w:r w:rsidRPr="00C71285">
              <w:rPr>
                <w:rFonts w:ascii="Times New Roman" w:hAnsi="Times New Roman"/>
                <w:sz w:val="24"/>
                <w:szCs w:val="24"/>
              </w:rPr>
              <w:br/>
              <w:t>- Ủy ban Giám sát tài chính Quốc gia;</w:t>
            </w:r>
            <w:r w:rsidRPr="00C71285">
              <w:rPr>
                <w:rFonts w:ascii="Times New Roman" w:hAnsi="Times New Roman"/>
                <w:sz w:val="24"/>
                <w:szCs w:val="24"/>
              </w:rPr>
              <w:br/>
              <w:t>- Ngân hàng Chính sách xã hội;</w:t>
            </w:r>
            <w:r w:rsidRPr="00C71285">
              <w:rPr>
                <w:rFonts w:ascii="Times New Roman" w:hAnsi="Times New Roman"/>
                <w:sz w:val="24"/>
                <w:szCs w:val="24"/>
              </w:rPr>
              <w:br/>
              <w:t>- Ngân hàng Phát triển Việt Nam;</w:t>
            </w:r>
            <w:r w:rsidRPr="00C71285">
              <w:rPr>
                <w:rFonts w:ascii="Times New Roman" w:hAnsi="Times New Roman"/>
                <w:sz w:val="24"/>
                <w:szCs w:val="24"/>
              </w:rPr>
              <w:br/>
              <w:t>- UBTW Mặt trận Tổ quốc Việt Nam;</w:t>
            </w:r>
            <w:r w:rsidRPr="00C71285">
              <w:rPr>
                <w:rFonts w:ascii="Times New Roman" w:hAnsi="Times New Roman"/>
                <w:sz w:val="24"/>
                <w:szCs w:val="24"/>
              </w:rPr>
              <w:br/>
              <w:t>- Cơ quan Trung ương của các đoàn thể;</w:t>
            </w:r>
            <w:r w:rsidRPr="00C71285">
              <w:rPr>
                <w:rFonts w:ascii="Times New Roman" w:hAnsi="Times New Roman"/>
                <w:sz w:val="24"/>
                <w:szCs w:val="24"/>
              </w:rPr>
              <w:br/>
              <w:t>- VPCP: BTCN, các PCN, Trợ lý TTCP, TGĐ Cổng TTĐT, các Vụ, Cục, đơn vị trực thuộc, Công báo;</w:t>
            </w:r>
            <w:r w:rsidRPr="00C71285">
              <w:rPr>
                <w:rFonts w:ascii="Times New Roman" w:hAnsi="Times New Roman"/>
                <w:sz w:val="24"/>
                <w:szCs w:val="24"/>
              </w:rPr>
              <w:br/>
              <w:t>- Lưu: Văn thư, NC (3b).</w:t>
            </w:r>
          </w:p>
        </w:tc>
        <w:tc>
          <w:tcPr>
            <w:tcW w:w="4428" w:type="dxa"/>
            <w:tcMar>
              <w:top w:w="0" w:type="dxa"/>
              <w:left w:w="108" w:type="dxa"/>
              <w:bottom w:w="0" w:type="dxa"/>
              <w:right w:w="108" w:type="dxa"/>
            </w:tcMar>
            <w:hideMark/>
          </w:tcPr>
          <w:p w:rsidR="00C71285" w:rsidRPr="00C71285" w:rsidRDefault="00C71285" w:rsidP="00AD0675">
            <w:pPr>
              <w:pStyle w:val="NormalWeb"/>
              <w:spacing w:before="120" w:beforeAutospacing="0"/>
              <w:jc w:val="center"/>
              <w:rPr>
                <w:rFonts w:ascii="Times New Roman" w:hAnsi="Times New Roman"/>
                <w:sz w:val="24"/>
                <w:szCs w:val="24"/>
              </w:rPr>
            </w:pPr>
            <w:r w:rsidRPr="00C71285">
              <w:rPr>
                <w:rFonts w:ascii="Times New Roman" w:hAnsi="Times New Roman"/>
                <w:b/>
                <w:bCs/>
                <w:sz w:val="24"/>
                <w:szCs w:val="24"/>
              </w:rPr>
              <w:t>TM. CHÍNH PHỦ</w:t>
            </w:r>
            <w:r w:rsidRPr="00C71285">
              <w:rPr>
                <w:rFonts w:ascii="Times New Roman" w:hAnsi="Times New Roman"/>
                <w:b/>
                <w:bCs/>
                <w:sz w:val="24"/>
                <w:szCs w:val="24"/>
              </w:rPr>
              <w:br/>
              <w:t>THỦ TƯỚNG</w:t>
            </w:r>
            <w:r w:rsidRPr="00C71285">
              <w:rPr>
                <w:rFonts w:ascii="Times New Roman" w:hAnsi="Times New Roman"/>
                <w:b/>
                <w:bCs/>
                <w:sz w:val="24"/>
                <w:szCs w:val="24"/>
              </w:rPr>
              <w:br/>
            </w:r>
            <w:r w:rsidRPr="00C71285">
              <w:rPr>
                <w:rFonts w:ascii="Times New Roman" w:hAnsi="Times New Roman"/>
                <w:b/>
                <w:bCs/>
                <w:sz w:val="24"/>
                <w:szCs w:val="24"/>
              </w:rPr>
              <w:br/>
            </w:r>
            <w:r w:rsidRPr="00C71285">
              <w:rPr>
                <w:rFonts w:ascii="Times New Roman" w:hAnsi="Times New Roman"/>
                <w:b/>
                <w:bCs/>
                <w:sz w:val="24"/>
                <w:szCs w:val="24"/>
              </w:rPr>
              <w:br/>
            </w:r>
            <w:r w:rsidRPr="00C71285">
              <w:rPr>
                <w:rFonts w:ascii="Times New Roman" w:hAnsi="Times New Roman"/>
                <w:b/>
                <w:bCs/>
                <w:sz w:val="24"/>
                <w:szCs w:val="24"/>
              </w:rPr>
              <w:br/>
            </w:r>
            <w:r w:rsidRPr="00C71285">
              <w:rPr>
                <w:rFonts w:ascii="Times New Roman" w:hAnsi="Times New Roman"/>
                <w:b/>
                <w:bCs/>
                <w:sz w:val="24"/>
                <w:szCs w:val="24"/>
              </w:rPr>
              <w:br/>
              <w:t>Nguyễn Tấn Dũng</w:t>
            </w:r>
          </w:p>
        </w:tc>
      </w:tr>
    </w:tbl>
    <w:p w:rsidR="00C71285" w:rsidRPr="00C71285" w:rsidRDefault="00C71285" w:rsidP="00C71285">
      <w:pPr>
        <w:pStyle w:val="NormalWeb"/>
        <w:spacing w:before="120" w:beforeAutospacing="0"/>
        <w:rPr>
          <w:rFonts w:ascii="Times New Roman" w:hAnsi="Times New Roman"/>
          <w:sz w:val="24"/>
          <w:szCs w:val="24"/>
        </w:rPr>
      </w:pPr>
      <w:r w:rsidRPr="00C71285">
        <w:rPr>
          <w:rFonts w:ascii="Times New Roman" w:hAnsi="Times New Roman"/>
          <w:b/>
          <w:bCs/>
          <w:sz w:val="24"/>
          <w:szCs w:val="24"/>
        </w:rPr>
        <w:t> </w:t>
      </w:r>
    </w:p>
    <w:p w:rsidR="00FB1C88" w:rsidRPr="00C71285" w:rsidRDefault="00FB1C88" w:rsidP="00C71285"/>
    <w:sectPr w:rsidR="00FB1C88" w:rsidRPr="00C71285"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9E6" w:rsidRDefault="003249E6" w:rsidP="00D9152F">
      <w:r>
        <w:separator/>
      </w:r>
    </w:p>
  </w:endnote>
  <w:endnote w:type="continuationSeparator" w:id="1">
    <w:p w:rsidR="003249E6" w:rsidRDefault="003249E6"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rsidRPr="00A67571" w:rsidRDefault="00935903" w:rsidP="00935903">
    <w:pPr>
      <w:pStyle w:val="Footer"/>
    </w:pPr>
    <w:r w:rsidRPr="00A67571">
      <w:rPr>
        <w:b/>
        <w:color w:val="FF0000"/>
      </w:rPr>
      <w:t xml:space="preserve">TỔNG ĐÀI TƯ VẤN PHÁP LUẬT TRỰC TUYẾN </w:t>
    </w:r>
    <w:r>
      <w:rPr>
        <w:b/>
        <w:color w:val="FF0000"/>
      </w:rPr>
      <w:t>24/7: 1900.6568</w:t>
    </w:r>
  </w:p>
  <w:p w:rsidR="00D9152F" w:rsidRPr="00935903" w:rsidRDefault="00D9152F" w:rsidP="00935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9E6" w:rsidRDefault="003249E6" w:rsidP="00D9152F">
      <w:r>
        <w:separator/>
      </w:r>
    </w:p>
  </w:footnote>
  <w:footnote w:type="continuationSeparator" w:id="1">
    <w:p w:rsidR="003249E6" w:rsidRDefault="003249E6"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935903" w:rsidRPr="00485341" w:rsidTr="009F53F1">
      <w:trPr>
        <w:trHeight w:val="1208"/>
      </w:trPr>
      <w:tc>
        <w:tcPr>
          <w:tcW w:w="2411" w:type="dxa"/>
          <w:tcBorders>
            <w:bottom w:val="single" w:sz="4" w:space="0" w:color="auto"/>
          </w:tcBorders>
          <w:vAlign w:val="center"/>
        </w:tcPr>
        <w:p w:rsidR="00935903" w:rsidRPr="00A67571" w:rsidRDefault="00935903" w:rsidP="002470DF">
          <w:pPr>
            <w:rPr>
              <w:b/>
              <w:sz w:val="20"/>
            </w:rPr>
          </w:pPr>
          <w:r w:rsidRPr="00A67571">
            <w:rPr>
              <w:b/>
              <w:sz w:val="20"/>
            </w:rPr>
            <w:t xml:space="preserve">        </w:t>
          </w:r>
          <w:r w:rsidRPr="004D651E">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b/>
              <w:sz w:val="20"/>
            </w:rPr>
            <w:t xml:space="preserve">                                                                                                                                                                                                                                                                                                                                                                                                                                                                                              </w:t>
          </w:r>
        </w:p>
      </w:tc>
      <w:tc>
        <w:tcPr>
          <w:tcW w:w="8356" w:type="dxa"/>
          <w:tcBorders>
            <w:bottom w:val="single" w:sz="4" w:space="0" w:color="auto"/>
          </w:tcBorders>
          <w:vAlign w:val="center"/>
        </w:tcPr>
        <w:p w:rsidR="00935903" w:rsidRPr="00FC5C06" w:rsidRDefault="00935903" w:rsidP="002470DF">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935903" w:rsidRPr="00A67571" w:rsidRDefault="00935903" w:rsidP="002470DF">
          <w:pPr>
            <w:rPr>
              <w:sz w:val="20"/>
            </w:rPr>
          </w:pPr>
          <w:r w:rsidRPr="00A67571">
            <w:rPr>
              <w:sz w:val="20"/>
            </w:rPr>
            <w:t>No 2305, VNT Tower, 19  Nguyen Trai Street, Thanh Xuan District, Hanoi City, Viet Nam</w:t>
          </w:r>
        </w:p>
        <w:p w:rsidR="00935903" w:rsidRPr="00A67571" w:rsidRDefault="00935903" w:rsidP="002470DF">
          <w:pPr>
            <w:rPr>
              <w:sz w:val="20"/>
            </w:rPr>
          </w:pPr>
          <w:r w:rsidRPr="00A67571">
            <w:rPr>
              <w:sz w:val="20"/>
            </w:rPr>
            <w:t>Tel:</w:t>
          </w:r>
          <w:r>
            <w:rPr>
              <w:sz w:val="20"/>
            </w:rPr>
            <w:t xml:space="preserve">   1900.6568      </w:t>
          </w:r>
          <w:r w:rsidRPr="00A67571">
            <w:rPr>
              <w:sz w:val="20"/>
            </w:rPr>
            <w:t xml:space="preserve">  Fax: 04.3562.7716</w:t>
          </w:r>
        </w:p>
        <w:p w:rsidR="00935903" w:rsidRPr="00A67571" w:rsidRDefault="00935903" w:rsidP="002470DF">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3249E6">
    <w:pPr>
      <w:pStyle w:val="Header"/>
      <w:rPr>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36B0"/>
    <w:multiLevelType w:val="hybridMultilevel"/>
    <w:tmpl w:val="B44C70C2"/>
    <w:lvl w:ilvl="0" w:tplc="359AC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7C795E"/>
    <w:multiLevelType w:val="hybridMultilevel"/>
    <w:tmpl w:val="9F168E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152F"/>
    <w:rsid w:val="003249E6"/>
    <w:rsid w:val="003C3FB5"/>
    <w:rsid w:val="00571B54"/>
    <w:rsid w:val="00590046"/>
    <w:rsid w:val="005A2A81"/>
    <w:rsid w:val="00817063"/>
    <w:rsid w:val="008D4FB4"/>
    <w:rsid w:val="008F5341"/>
    <w:rsid w:val="00935903"/>
    <w:rsid w:val="00C71285"/>
    <w:rsid w:val="00D9152F"/>
    <w:rsid w:val="00FB1C88"/>
    <w:rsid w:val="00FF7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aliases w:val="Body Text Indent Char1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Char Char Char Char1"/>
    <w:basedOn w:val="Normal"/>
    <w:semiHidden/>
    <w:rsid w:val="008D4FB4"/>
    <w:pPr>
      <w:spacing w:after="160" w:line="240" w:lineRule="exact"/>
    </w:pPr>
    <w:rPr>
      <w:rFonts w:ascii="Arial" w:hAnsi="Arial"/>
      <w:sz w:val="22"/>
      <w:szCs w:val="22"/>
    </w:rPr>
  </w:style>
  <w:style w:type="paragraph" w:customStyle="1" w:styleId="CharChar">
    <w:name w:val="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 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 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 Char Char Char Char1"/>
    <w:basedOn w:val="Normal"/>
    <w:semiHidden/>
    <w:rsid w:val="008D4FB4"/>
    <w:pPr>
      <w:spacing w:after="160" w:line="240" w:lineRule="exact"/>
    </w:pPr>
    <w:rPr>
      <w:rFonts w:ascii="Arial" w:hAnsi="Arial"/>
      <w:sz w:val="22"/>
      <w:szCs w:val="22"/>
    </w:rPr>
  </w:style>
  <w:style w:type="paragraph" w:customStyle="1" w:styleId="CharChar">
    <w:name w:val=" 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hoa</cp:lastModifiedBy>
  <cp:revision>3</cp:revision>
  <dcterms:created xsi:type="dcterms:W3CDTF">2014-12-19T07:00:00Z</dcterms:created>
  <dcterms:modified xsi:type="dcterms:W3CDTF">2015-08-31T09:57:00Z</dcterms:modified>
</cp:coreProperties>
</file>