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3348"/>
        <w:gridCol w:w="5508"/>
      </w:tblGrid>
      <w:tr w:rsidR="00315C25" w:rsidRPr="00CC6AAB" w:rsidTr="00487BB1">
        <w:trPr>
          <w:tblCellSpacing w:w="0" w:type="dxa"/>
        </w:trPr>
        <w:tc>
          <w:tcPr>
            <w:tcW w:w="3348" w:type="dxa"/>
            <w:shd w:val="clear" w:color="auto" w:fill="FFFFFF"/>
            <w:tcMar>
              <w:top w:w="0" w:type="dxa"/>
              <w:left w:w="108" w:type="dxa"/>
              <w:bottom w:w="0" w:type="dxa"/>
              <w:right w:w="108" w:type="dxa"/>
            </w:tcMar>
          </w:tcPr>
          <w:p w:rsidR="00315C25" w:rsidRPr="00CC6AAB" w:rsidRDefault="00315C25" w:rsidP="00487BB1">
            <w:pPr>
              <w:pStyle w:val="NormalWeb"/>
              <w:spacing w:before="120" w:beforeAutospacing="0" w:after="0" w:afterAutospacing="0" w:line="234" w:lineRule="atLeast"/>
              <w:jc w:val="center"/>
              <w:rPr>
                <w:color w:val="000000"/>
              </w:rPr>
            </w:pPr>
            <w:r w:rsidRPr="00CC6AAB">
              <w:rPr>
                <w:b/>
                <w:bCs/>
                <w:color w:val="000000"/>
              </w:rPr>
              <w:t>CHÍNH PHỦ</w:t>
            </w:r>
            <w:r w:rsidRPr="00CC6AAB">
              <w:rPr>
                <w:b/>
                <w:bCs/>
                <w:color w:val="000000"/>
              </w:rPr>
              <w:br/>
              <w:t>-------</w:t>
            </w:r>
          </w:p>
        </w:tc>
        <w:tc>
          <w:tcPr>
            <w:tcW w:w="5508" w:type="dxa"/>
            <w:shd w:val="clear" w:color="auto" w:fill="FFFFFF"/>
            <w:tcMar>
              <w:top w:w="0" w:type="dxa"/>
              <w:left w:w="108" w:type="dxa"/>
              <w:bottom w:w="0" w:type="dxa"/>
              <w:right w:w="108" w:type="dxa"/>
            </w:tcMar>
          </w:tcPr>
          <w:p w:rsidR="00315C25" w:rsidRPr="00CC6AAB" w:rsidRDefault="00315C25" w:rsidP="00487BB1">
            <w:pPr>
              <w:pStyle w:val="NormalWeb"/>
              <w:spacing w:before="120" w:beforeAutospacing="0" w:after="0" w:afterAutospacing="0" w:line="234" w:lineRule="atLeast"/>
              <w:jc w:val="center"/>
              <w:rPr>
                <w:color w:val="000000"/>
              </w:rPr>
            </w:pPr>
            <w:r w:rsidRPr="00CC6AAB">
              <w:rPr>
                <w:b/>
                <w:bCs/>
                <w:color w:val="000000"/>
              </w:rPr>
              <w:t>CỘNG HÒA XÃ HỘI CHỦ NGHĨA VIỆT NAM</w:t>
            </w:r>
            <w:r w:rsidRPr="00CC6AAB">
              <w:rPr>
                <w:b/>
                <w:bCs/>
                <w:color w:val="000000"/>
              </w:rPr>
              <w:br/>
              <w:t>Độc lập - Tự do - Hạnh phúc</w:t>
            </w:r>
            <w:r w:rsidRPr="00CC6AAB">
              <w:rPr>
                <w:rStyle w:val="apple-converted-space"/>
                <w:b/>
                <w:bCs/>
                <w:color w:val="000000"/>
              </w:rPr>
              <w:t> </w:t>
            </w:r>
            <w:r w:rsidRPr="00CC6AAB">
              <w:rPr>
                <w:b/>
                <w:bCs/>
                <w:color w:val="000000"/>
              </w:rPr>
              <w:br/>
              <w:t>---------------</w:t>
            </w:r>
          </w:p>
        </w:tc>
      </w:tr>
      <w:tr w:rsidR="00315C25" w:rsidRPr="00CC6AAB" w:rsidTr="00487BB1">
        <w:trPr>
          <w:tblCellSpacing w:w="0" w:type="dxa"/>
        </w:trPr>
        <w:tc>
          <w:tcPr>
            <w:tcW w:w="3348" w:type="dxa"/>
            <w:shd w:val="clear" w:color="auto" w:fill="FFFFFF"/>
            <w:tcMar>
              <w:top w:w="0" w:type="dxa"/>
              <w:left w:w="108" w:type="dxa"/>
              <w:bottom w:w="0" w:type="dxa"/>
              <w:right w:w="108" w:type="dxa"/>
            </w:tcMar>
          </w:tcPr>
          <w:p w:rsidR="00315C25" w:rsidRPr="00CC6AAB" w:rsidRDefault="00315C25" w:rsidP="00487BB1">
            <w:pPr>
              <w:pStyle w:val="NormalWeb"/>
              <w:spacing w:before="120" w:beforeAutospacing="0" w:after="0" w:afterAutospacing="0" w:line="234" w:lineRule="atLeast"/>
              <w:jc w:val="center"/>
              <w:rPr>
                <w:color w:val="000000"/>
              </w:rPr>
            </w:pPr>
            <w:r w:rsidRPr="00CC6AAB">
              <w:rPr>
                <w:color w:val="000000"/>
              </w:rPr>
              <w:t>Số: 116/2014/NĐ-CP</w:t>
            </w:r>
          </w:p>
        </w:tc>
        <w:tc>
          <w:tcPr>
            <w:tcW w:w="5508" w:type="dxa"/>
            <w:shd w:val="clear" w:color="auto" w:fill="FFFFFF"/>
            <w:tcMar>
              <w:top w:w="0" w:type="dxa"/>
              <w:left w:w="108" w:type="dxa"/>
              <w:bottom w:w="0" w:type="dxa"/>
              <w:right w:w="108" w:type="dxa"/>
            </w:tcMar>
          </w:tcPr>
          <w:p w:rsidR="00315C25" w:rsidRPr="00CC6AAB" w:rsidRDefault="00315C25" w:rsidP="00487BB1">
            <w:pPr>
              <w:pStyle w:val="NormalWeb"/>
              <w:spacing w:before="120" w:beforeAutospacing="0" w:after="0" w:afterAutospacing="0" w:line="234" w:lineRule="atLeast"/>
              <w:jc w:val="right"/>
              <w:rPr>
                <w:color w:val="000000"/>
              </w:rPr>
            </w:pPr>
            <w:r w:rsidRPr="00CC6AAB">
              <w:rPr>
                <w:i/>
                <w:iCs/>
                <w:color w:val="000000"/>
              </w:rPr>
              <w:t>Hà Nội, ngày 04 tháng 12 năm 2014</w:t>
            </w:r>
          </w:p>
        </w:tc>
      </w:tr>
    </w:tbl>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 </w:t>
      </w:r>
    </w:p>
    <w:p w:rsidR="00315C25" w:rsidRPr="00CC6AAB" w:rsidRDefault="00315C25" w:rsidP="00C92C77">
      <w:pPr>
        <w:pStyle w:val="NormalWeb"/>
        <w:shd w:val="clear" w:color="auto" w:fill="FFFFFF"/>
        <w:spacing w:before="0" w:beforeAutospacing="0" w:after="0" w:afterAutospacing="0" w:line="234" w:lineRule="atLeast"/>
        <w:jc w:val="center"/>
        <w:rPr>
          <w:color w:val="000000"/>
        </w:rPr>
      </w:pPr>
      <w:bookmarkStart w:id="0" w:name="loai_1"/>
      <w:r w:rsidRPr="00CC6AAB">
        <w:rPr>
          <w:b/>
          <w:bCs/>
          <w:color w:val="000000"/>
        </w:rPr>
        <w:t>NGHỊ ĐỊNH</w:t>
      </w:r>
      <w:bookmarkEnd w:id="0"/>
    </w:p>
    <w:p w:rsidR="00315C25" w:rsidRPr="00CC6AAB" w:rsidRDefault="00315C25" w:rsidP="00C92C77">
      <w:pPr>
        <w:pStyle w:val="NormalWeb"/>
        <w:shd w:val="clear" w:color="auto" w:fill="FFFFFF"/>
        <w:spacing w:before="0" w:beforeAutospacing="0" w:after="0" w:afterAutospacing="0" w:line="234" w:lineRule="atLeast"/>
        <w:jc w:val="center"/>
        <w:rPr>
          <w:color w:val="000000"/>
        </w:rPr>
      </w:pPr>
      <w:bookmarkStart w:id="1" w:name="loai_1_name"/>
      <w:r w:rsidRPr="00CC6AAB">
        <w:rPr>
          <w:color w:val="000000"/>
        </w:rPr>
        <w:t>QUY ĐỊNH CHI TIẾT MỘT SỐ ĐIỀU CỦA LUẬT BẢO VỆ VÀ KIỂM DỊCH THỰC VẬT</w:t>
      </w:r>
      <w:bookmarkEnd w:id="1"/>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i/>
          <w:iCs/>
          <w:color w:val="000000"/>
        </w:rPr>
        <w:t>Căn cứ Luật Tổ chức Chính phủ ngày 25 tháng 12 năm 2001;</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i/>
          <w:iCs/>
          <w:color w:val="000000"/>
        </w:rPr>
        <w:t>Căn cứ Luật Bảo vệ và kiểm dịch thực vật ngày 25 tháng 11 năm 2013;</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i/>
          <w:iCs/>
          <w:color w:val="000000"/>
        </w:rPr>
        <w:t>Theo đề nghị của Bộ trưởng Bộ Nông nghiệp và Phát triển nông thôn,</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i/>
          <w:iCs/>
          <w:color w:val="000000"/>
        </w:rPr>
        <w:t>Chính phủ ban hành Nghị định quy định chi tiết một số điều của Luật Bảo vệ và kiểm dịch thực vật.</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2" w:name="chuong_1"/>
      <w:r w:rsidRPr="00CC6AAB">
        <w:rPr>
          <w:b/>
          <w:bCs/>
          <w:color w:val="000000"/>
        </w:rPr>
        <w:t>Chương I</w:t>
      </w:r>
      <w:bookmarkEnd w:id="2"/>
    </w:p>
    <w:p w:rsidR="00315C25" w:rsidRPr="00CC6AAB" w:rsidRDefault="00315C25" w:rsidP="00C92C77">
      <w:pPr>
        <w:pStyle w:val="NormalWeb"/>
        <w:shd w:val="clear" w:color="auto" w:fill="FFFFFF"/>
        <w:spacing w:before="0" w:beforeAutospacing="0" w:after="0" w:afterAutospacing="0" w:line="234" w:lineRule="atLeast"/>
        <w:jc w:val="center"/>
        <w:rPr>
          <w:color w:val="000000"/>
        </w:rPr>
      </w:pPr>
      <w:bookmarkStart w:id="3" w:name="chuong_1_name"/>
      <w:r w:rsidRPr="00CC6AAB">
        <w:rPr>
          <w:b/>
          <w:bCs/>
          <w:color w:val="000000"/>
        </w:rPr>
        <w:t>NHỮNG QUY ĐỊNH CHUNG</w:t>
      </w:r>
      <w:bookmarkEnd w:id="3"/>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4" w:name="dieu_1"/>
      <w:r w:rsidRPr="00CC6AAB">
        <w:rPr>
          <w:b/>
          <w:bCs/>
          <w:color w:val="000000"/>
        </w:rPr>
        <w:t>Điều 1. Phạm vi điều chỉnh</w:t>
      </w:r>
      <w:bookmarkEnd w:id="4"/>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Nghị định này quy định chi tiết và hướng dẫn thi hành Điều 9, Điều 17, Điều 21 và Điều 35 của Luật Bảo vệ và kiểm dịch thực vật về cơ quan chuyên ngành bảo vệ và kiểm dịch thực vật; công bố dịch hại thực vật; kinh phí chống dịch; tạm ngừng xuất khẩu, nhập khẩu; cấm xuất khẩu, nhập khẩu vật thể thuộc diện kiểm dịch thực vật.</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5" w:name="dieu_2"/>
      <w:r w:rsidRPr="00CC6AAB">
        <w:rPr>
          <w:b/>
          <w:bCs/>
          <w:color w:val="000000"/>
        </w:rPr>
        <w:t>Điều 2. Đối tượng áp dụng</w:t>
      </w:r>
      <w:bookmarkEnd w:id="5"/>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Nghị định này áp dụng đối với tổ chức, cá nhân trong nước và tổ chức, cá nhân nước ngoài có liên quan đến hoạt động bảo vệ và kiểm dịch thực vật tại Việt Nam.</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6" w:name="dieu_3"/>
      <w:r w:rsidRPr="00CC6AAB">
        <w:rPr>
          <w:b/>
          <w:bCs/>
          <w:color w:val="000000"/>
        </w:rPr>
        <w:t>Điều 3. Hệ thống cơ quan chuyên ngành bảo vệ và kiểm dịch thực vật</w:t>
      </w:r>
      <w:bookmarkEnd w:id="6"/>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Cơ quan chuyên ngành bảo vệ và kiểm dịch thực vật ở trung ương trực thuộc Bộ Nông nghiệp và Phát triển nông thôn có chức năng tham mưu, giúp Bộ trưởng Bộ Nông nghiệp và Phát triển nông thôn quản lý nhà nước và tổ chức thực thi pháp luật trong lĩnh vực phòng, chống sinh vật gây hại thực vật; kiểm dịch thực vật và quản lý thuốc bảo vệ thực vật trên toàn quốc.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Cơ quan chuyên ngành bảo vệ và kiểm dịch thực vật tỉnh, thành phố trực thuộc Trung ương (sau đây gọi chung là cấp tỉnh) trực thuộc Sở Nông nghiệp và Phát triển nông thôn giúp Giám đốc Sở Nông nghiệp và Phát triển nông thôn tham mưu cho Ủy ban nhân dân cấp tỉnh thực hiện chức năng quản lý nhà nước và tổ chức thực thi pháp luật trong lĩnh vực phòng, chống sinh vật gây hại thực vật; kiểm dịch thực vật nội địa và quản lý thuốc bảo vệ thực vật trên địa bàn tỉnh, thành phố trực thuộc Trung ương và chịu sự chỉ đạo về chuyên môn nghiệp vụ của cơ quan chuyên ngành bảo vệ và kiểm dịch thực vật ở trung ương.</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3. Cơ quan chuyên ngành bảo vệ và kiểm dịch thực vật quận, huyện, thị xã, thành phố thuộc tỉnh (sau đây gọi chung là cấp huyện) trực thuộc cơ quan chuyên ngành bảo vệ và kiểm dịch thực vật cấp tỉnh thực hiện nhiệm vụ được giao trên địa bàn cấp huyện và phối hợp với Phòng Nông nghiệp và Phát triển nông thôn giúp Ủy ban nhân dân cấp huyện quản lý nhà nước trong lĩnh vực phòng, chống sinh vật gây hại thực vật; kiểm dịch thực vật nội địa và quản lý thuốc bảo vệ thực vật trên địa bàn cấp huyện.</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4. Cơ quan chuyên ngành bảo vệ và kiểm dịch thực vật ở địa phương hoạt động theo hướng dẫn của Bộ trưởng Bộ Nội vụ và Bộ trưởng Bộ Nông nghiệp và Phát triển nông thôn.</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7" w:name="chuong_2"/>
      <w:r w:rsidRPr="00CC6AAB">
        <w:rPr>
          <w:b/>
          <w:bCs/>
          <w:color w:val="000000"/>
        </w:rPr>
        <w:t>Chương II</w:t>
      </w:r>
      <w:bookmarkEnd w:id="7"/>
    </w:p>
    <w:p w:rsidR="00315C25" w:rsidRPr="00CC6AAB" w:rsidRDefault="00315C25" w:rsidP="00C92C77">
      <w:pPr>
        <w:pStyle w:val="NormalWeb"/>
        <w:shd w:val="clear" w:color="auto" w:fill="FFFFFF"/>
        <w:spacing w:before="0" w:beforeAutospacing="0" w:after="0" w:afterAutospacing="0" w:line="234" w:lineRule="atLeast"/>
        <w:jc w:val="center"/>
        <w:rPr>
          <w:color w:val="000000"/>
        </w:rPr>
      </w:pPr>
      <w:bookmarkStart w:id="8" w:name="chuong_2_name"/>
      <w:r w:rsidRPr="00CC6AAB">
        <w:rPr>
          <w:b/>
          <w:bCs/>
          <w:color w:val="000000"/>
        </w:rPr>
        <w:t>CÔNG BỐ DỊCH HẠI THỰC VẬT, KINH PHÍ CHỐNG DỊCH</w:t>
      </w:r>
      <w:bookmarkEnd w:id="8"/>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9" w:name="dieu_4"/>
      <w:r w:rsidRPr="00CC6AAB">
        <w:rPr>
          <w:b/>
          <w:bCs/>
          <w:color w:val="000000"/>
        </w:rPr>
        <w:t>Điều 4. Điều kiện công bố dịch hại thực vật</w:t>
      </w:r>
      <w:bookmarkEnd w:id="9"/>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Đối với sinh vật gây hại thực vật không thuộc đối tượng kiểm dịch thực vật, không phải là sinh vật gây hại lạ thì phải đảm bảo hai điều kiện sau:</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Sinh vật gây hại thực vật gia tăng đột biến cả về số lượng, diện tích, mức độ gây hại so với trung bình của 02 (hai) năm trước liền kề của thời điểm công bố dịch và dự báo của cơ quan chuyên ngành bảo vệ và kiểm dịch thực vật cấp tỉnh trở lên; có nguy cơ lây lan nhanh trên diện rộng, ảnh hưởng nghiêm trọng đến sản xuất, môi trường, đời sống nhân dân, vượt quá khả năng kiểm soát của chủ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Các biện pháp quản lý sinh vật gây hại đã được chủ thực vật áp dụng theo hướng dẫn của cơ quan chuyên ngành bảo vệ và kiểm dịch thực vật nhưng chưa đạt hiệu quả, phải áp dụng các biện pháp khẩn cấp, bắt buộc chủ thực vật, tổ chức, cá nhân có liên quan trên địa bàn có dịch thực hiện nghiêm chỉnh trong một thời gian nhất định để nhanh chóng khống chế, dập tắt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Đối với sinh vật gây hại thực vật là đối tượng kiểm dịch thực vật hoặc sinh vật gây hại lạ</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Khi phát hiện đối tượng kiểm dịch thực vật hoặc sinh vật gây hại lạ xuất hiện hoặc xâm nhập vào lãnh thổ Việt Nam, có nguy cơ thiết lập quần thể, lây lan ra diện rộng mà phải áp dụng các biện pháp khẩn cấp, bắt buộc chủ thực vật, tổ chức, cá nhân có liên quan trên địa bàn có dịch thực hiện nghiêm chỉnh để nhanh chóng bao vây và xử lý triệt để đối tượng kiểm dịch thực vật hoặc sinh vật gây hại lạ.</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0" w:name="dieu_5"/>
      <w:r w:rsidRPr="00CC6AAB">
        <w:rPr>
          <w:b/>
          <w:bCs/>
          <w:color w:val="000000"/>
        </w:rPr>
        <w:t>Điều 5. Trình tự, thủ tục công bố dịch hại thực vật</w:t>
      </w:r>
      <w:bookmarkEnd w:id="10"/>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Trình tự, thủ tục công bố dịch hại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Căn cứ vào quy định tại Điều 4 Nghị định này, cơ quan chuyên ngành bảo vệ và kiểm dịch thực vật ở trung ương báo cáo Bộ trưởng Bộ Nông nghiệp và Phát triển nông thôn; cơ quan chuyên ngành bảo vệ và kiểm dịch thực vật ở cấp tỉnh trình Giám đốc Sở Nông nghiệp và Phát triển nông thôn báo cáo Chủ tịch Ủy ban nhân dân cấp tỉnh về tình hình dịch hại, các số liệu thực tế chứng minh đủ điều kiện công bố dịch và sự cần thiết phải công bố dịch, đề xuất phạm vi công bố dịch và các giải pháp chống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Bộ trưởng Bộ Nông nghiệp và Phát triển nông thôn căn cứ vào báo cáo của thủ trưởng cơ quan chuyên ngành bảo vệ và kiểm dịch thực vật ở trung ương; Chủ tịch Ủy ban nhân dân cấp tỉnh căn cứ vào báo cáo của Giám đốc Sở Nông nghiệp và Phát triển nông thôn quyết định công bố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c) Trong trường hợp cần thiết, người có thẩm quyền công bố dịch thành lập Hội đồng tư vấn để lấy ý kiến. Hội đồng do người có thẩm quyền công bố dịch hoặc cấp phó của người đó làm Chủ tịch, Thủ trưởng cơ quan chuyên ngành bảo vệ và kiểm dịch thực vật ở trung ương hoặc Giám đốc Sở Nông nghiệp và Phát triển nông thôn làm Phó Chủ tịch, thành viên là đại diện các cơ quan, tổ chức có liên quan và các chuyên gia có kinh nghiệm trong lĩnh vực bảo vệ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Hội đồng tư vấn có trách nhiệm xem xét báo cáo của cơ quan chuyên ngành bảo vệ và kiểm dịch thực vật, đề xuất với người có thẩm quyền về việc công bố dịch, phạm vi công bố dịch, các giải pháp chống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Quyết định công bố dịch hại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Nội dung của quyết định công bố dịch bao gồm: Sinh vật gây hại thực vật, đối tượng bị hại, phạm vi công bố dịch, các giải pháp chống dịch, hiệu lực của quyết định;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Trong thời hạn 24 giờ kể từ khi công bố dịch, Quyết định công bố dịch phải được thông báo công khai trên các phương tiện thông tin đại chúng của trung ương và địa phương; chính quyền địa phương nơi công bố dịch phải thông báo cho chủ thực vật, tổ chức, cá nhân có liên quan trên địa bàn biết và thực hiện.</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1" w:name="dieu_6"/>
      <w:r w:rsidRPr="00CC6AAB">
        <w:rPr>
          <w:b/>
          <w:bCs/>
          <w:color w:val="000000"/>
        </w:rPr>
        <w:t>Điều 6. Trình tự, thủ tục công bố hết dịch hại thực vật</w:t>
      </w:r>
      <w:bookmarkEnd w:id="11"/>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Khi dịch hại thực vật đã được khống chế và không còn nguy cơ gây thiệt hại nghiêm trọng thì cơ quan chuyên ngành bảo vệ và kiểm dịch thực vật ở trung ương báo cáo kết quả chống dịch và đề xuất công bố hết dịch với Bộ trưởng Bộ Nông nghiệp và Phát triển nông thôn; cơ quan chuyên ngành bảo vệ và kiểm dịch thực vật ở cấp tỉnh trình Giám đốc Sở Nông nghiệp và Phát triển nông thôn báo cáo kết quả chống dịch và đề xuất công bố hết dịch với Chủ tịch Ủy ban nhân dân cấp tỉnh.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Nội dung của báo cáo kết quả chống dịch và đề xuất công bố hết dịch bao gồm: Tình hình diễn biến dịch và dự báo xu hướng phát triển của sinh vật gây hại; các biện pháp khắc phục hậu quả do dịch gây ra, ổn định đời sống và khôi phục sản xuất; các biện pháp quản lý sinh vật gây hại bền vững; cơ sở pháp lý, khoa học và thực tiễn của việc đề xuất công bố hết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3. Bộ trưởng Bộ Nông nghiệp và Phát triển nông thôn căn cứ vào báo cáo của thủ trưởng cơ quan chuyên ngành bảo vệ và kiểm dịch thực vật ở trung ương; Chủ tịch Ủy ban nhân dân cấp tỉnh căn cứ vào báo cáo của Giám đốc Sở Nông nghiệp và Phát triển nông thôn quyết định công bố hết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4. Trong thời hạn 24 giờ kể từ khi người có thẩm quyền ký Quyết định công bố hết dịch, Quyết định phải được thông báo công khai trên các phương tiện thông tin đại chúng của trung ương và địa phương.</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2" w:name="dieu_7"/>
      <w:r w:rsidRPr="00CC6AAB">
        <w:rPr>
          <w:b/>
          <w:bCs/>
          <w:color w:val="000000"/>
        </w:rPr>
        <w:t>Điều 7. Kinh phí chống dịch hại thực vật</w:t>
      </w:r>
      <w:bookmarkEnd w:id="12"/>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Nguồn kinh phí chống dịch hại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Ngân sách nhà nước theo phân cấp hiện hành;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Kinh phí của tổ chức, cá nhân có quyền sở hữu hoặc quyền sử dụng hoặc trực tiếp quản lý chủ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c) Đóng góp, tài trợ của các tổ chức, cá nhân trong nước, nước ngoài, tổ chức quốc tế và các nguồn hợp pháp khác.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Đối tượng được ngân sách nhà nước hỗ trợ kinh phí chống dịch hại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Chủ thực vật có thực vật bị thiệt hại do dịch hại gây ra hoặc buộc phải áp dụng biện pháp chống dịch theo yêu cầu của cơ quan nhà nước có thẩm quyền;</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Người tham gia chống dịch hại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3. Nội dung được hỗ trợ chống dịch hại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Tuyên truyền, tập huấn, tổ chức chống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Phương tiện, trang thiết bị, thuốc bảo vệ thực vật để chống dịch;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c) Thiệt hại do dịch hại gây ra;</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d) Thiệt hại do phải áp dụng biện pháp xử lý thực vật theo yêu cầu của cơ quan nhà nước có thẩm quyền và chi phí xử lý.</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4. Mức hỗ trợ chống dịch hại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Đối với các nội dung hỗ trợ đã có định mức, tiêu chuẩn do Nhà nước quy định thì chi theo quy định hiện hành;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Đối với những nội dung hỗ trợ chưa có quy định về định mức, tiêu chuẩn, Bộ trưởng Bộ Tài chính chủ trì, phối hợp với Bộ trưởng Bộ Nông nghiệp và Phát triển nông thôn trình Thủ tướng Chính phủ quyết định mức hỗ trợ từ nguồn ngân sách trung ương; Chủ tịch Ủy ban nhân dân cấp tỉnh quyết định mức hỗ trợ từ ngân sách địa phương.</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5. Sử dụng nguồn kinh phí chống dịch hại thực vật từ ngân sách nhà nước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Kinh phí chống dịch tại địa phương do Ủy ban nhân dân các cấp quyết định sử dụng dự phòng ngân sách địa phương theo quy định của Luật Ngân sách nhà nước.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Trường hợp kinh phí chống dịch hại thực vật phát sinh lớn, vượt quá khả năng cân đối của ngân sách địa phương, Ủy ban nhân dân cấp tỉnh có báo cáo gửi Bộ Tài chính, Bộ Nông nghiệp và Phát triển nông thôn tổng hợp để trình Thủ tướng Chính phủ xem xét, quyết định;</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Kinh phí chi cho các hoạt động chống dịch của các cơ quan trung ương bố trí từ nguồn ngân sách trung ương theo quy định của Luật Ngân sách nhà nước.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6. Sử dụng nguồn kinh phí chống dịch hại thực vật của chủ thực vật</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Các chi phí để chống dịch khác ngoài nguồn kinh phí hỗ trợ từ ngân sách nhà nước, kinh phí tài trợ của các tổ chức, cá nhân trong nước, nước ngoài, tổ chức quốc tế (nếu có).</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7. Sử dụng nguồn kinh phí chống dịch hại thực vật do đóng góp, tài trợ của các tổ chức, cá nhân trong nước, nước ngoài, tổ chức quốc tế và các nguồn hợp pháp khác.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Đối với nguồn đóng góp, tài trợ của các tổ chức cá nhân trong và ngoài nước thuộc nguồn thu ngân sách nhà nước được thực hiện theo quy định của Luật Ngân sách nhà nước;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Đối với các nguồn đóng góp, tài trợ hợp pháp khác được thực hiện theo yêu cầu của nhà tài trợ.</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3" w:name="chuong_3"/>
      <w:r w:rsidRPr="00CC6AAB">
        <w:rPr>
          <w:b/>
          <w:bCs/>
          <w:color w:val="000000"/>
        </w:rPr>
        <w:t>Chương III</w:t>
      </w:r>
      <w:bookmarkEnd w:id="13"/>
    </w:p>
    <w:p w:rsidR="00315C25" w:rsidRPr="00CC6AAB" w:rsidRDefault="00315C25" w:rsidP="00C92C77">
      <w:pPr>
        <w:pStyle w:val="NormalWeb"/>
        <w:shd w:val="clear" w:color="auto" w:fill="FFFFFF"/>
        <w:spacing w:before="0" w:beforeAutospacing="0" w:after="0" w:afterAutospacing="0" w:line="234" w:lineRule="atLeast"/>
        <w:jc w:val="center"/>
        <w:rPr>
          <w:color w:val="000000"/>
        </w:rPr>
      </w:pPr>
      <w:bookmarkStart w:id="14" w:name="chuong_3_name"/>
      <w:r w:rsidRPr="00CC6AAB">
        <w:rPr>
          <w:b/>
          <w:bCs/>
          <w:color w:val="000000"/>
        </w:rPr>
        <w:t>QUY ĐỊNH VIỆC TẠM NGỪNG XUẤT KHẨU, NHẬP KHẨU; CẤM XUẤT KHẨU, NHẬP KHẨU VẬT THỂ THUỘC DIỆN KIỂM DỊCH THỰC VẬT</w:t>
      </w:r>
      <w:bookmarkEnd w:id="14"/>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5" w:name="dieu_8"/>
      <w:r w:rsidRPr="00CC6AAB">
        <w:rPr>
          <w:b/>
          <w:bCs/>
          <w:color w:val="000000"/>
        </w:rPr>
        <w:t>Điều 8. Tạm ngừng xuất khẩu, nhập khẩu vật thể thuộc diện kiểm dịch thực vật (sau đây gọi tắt là vật thể)</w:t>
      </w:r>
      <w:bookmarkEnd w:id="15"/>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Tạm ngừng xuất khẩu vật thể trong các trường hợp sau đây:</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Vật thể có nguy cơ cao mang theo đối tượng kiểm dịch thực vật của nước nhập khẩu và chưa có biện pháp xử lý triệt để;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Vật thể đã bị vi phạm quy định của nước nhập khẩu mà chưa có biện pháp khắc phục triệt để nguyên nhân vi phạm và có nguy cơ làm mất thị trường xuất khẩu.</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Tạm ngừng nhập khẩu vật thể trong các trường hợp sau đây:</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Vật thể nhập khẩu từ quốc gia, vùng lãnh thổ có nguy cơ cao mang theo đối tượng kiểm dịch thực vật của Việt Nam mà chưa có biện pháp xử lý triệt để;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Vật thể nhập khẩu từ một quốc gia, vùng lãnh thổ bị phát hiện nhiễm đối tượng kiểm dịch thực vật hoặc sinh vật gây hại lạ mà cơ quan chuyên ngành bảo vệ và kiểm dịch thực vật ở trung ương đã có thông báo về việc không tuân thủ quy định kiểm dịch thực vật của Việt Nam;</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c) Vật thể từ quốc gia hoặc vùng lãnh thổ có thông tin chính thức về sự bùng phát đối tượng kiểm dịch thực vật của Việt Nam.</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6" w:name="dieu_9"/>
      <w:r w:rsidRPr="00CC6AAB">
        <w:rPr>
          <w:b/>
          <w:bCs/>
          <w:color w:val="000000"/>
        </w:rPr>
        <w:t>Điều 9. Điều kiện để tiếp tục xuất khẩu, nhập khẩu vật thể thuộc diện kiểm dịch thực vật</w:t>
      </w:r>
      <w:bookmarkEnd w:id="16"/>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Điều kiện để tiếp tục xuất khẩu vật thể: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Vật thể đã được áp dụng đầy đủ các biện pháp theo hướng dẫn của cơ quan chuyên ngành bảo vệ và kiểm dịch thực vật có thẩm quyền;</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Vật thể đã được kiểm tra, giám sát, xác nhận việc thực hiện hiệu quả các biện pháp khắc phục được các nguy cơ quy định tại Khoản 1 Điều 8 của Nghị định này.</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Điều kiện để tiếp tục nhập khẩu vật thể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Vật thể đã được cơ quan kiểm dịch thực vật của nước xuất khẩu báo cáo xác định nguyên nhân bị nhiễm đối tượng kiểm dịch thực vật và đã áp dụng các biện pháp xử lý triệt để;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Vật thể đã được kiểm tra, giám sát, xác nhận hiệu quả thực hiện các biện pháp khắc phục được các nguy cơ quy định tại Khoản 2 Điều 8 của Nghị định này.</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7" w:name="dieu_10"/>
      <w:r w:rsidRPr="00CC6AAB">
        <w:rPr>
          <w:b/>
          <w:bCs/>
          <w:color w:val="000000"/>
        </w:rPr>
        <w:t>Điều 10. Cấm xuất khẩu, nhập khẩu vật thể thuộc diện kiểm dịch thực vật</w:t>
      </w:r>
      <w:bookmarkEnd w:id="17"/>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Cấm xuất khẩu vật thể trong các trường hợp sau đây:</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Vật thể thuộc Danh mục cấm nhập khẩu của nước nhập khẩu;</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Vật thể không có biện pháp xử lý đáp ứng quy định của nước nhập khẩu.</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Cấm nhập khẩu vật thể trong các trường hợp sau đây:</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Vật thể nhập khẩu từ quốc gia, vùng lãnh thổ được xác định có nguy cơ cao mang theo đối tượng kiểm dịch thực vật, đe dọa sản xuất nông nghiệp trong nước, an ninh lương thực quốc gia mà không có biện pháp xử lý triệt để;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Vật thể nhập khẩu đã bị áp dụng biện pháp xử lý tạm ngừng nhập khẩu nhưng vẫn không áp dụng các biện pháp khắc phục hoặc đã áp dụng nhưng vẫn không đáp ứng được các quy định kiểm dịch thực vật nhập khẩu của Việt Nam.</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8" w:name="dieu_11"/>
      <w:r w:rsidRPr="00CC6AAB">
        <w:rPr>
          <w:b/>
          <w:bCs/>
          <w:color w:val="000000"/>
        </w:rPr>
        <w:t>Điều 11. Thẩm quyền tạm ngừng hoặc cấm xuất khẩu, nhập khẩu thực vật hoặc tiếp tục xuất khẩu, nhập khẩu vật thể thuộc diện kiểm dịch thực vật</w:t>
      </w:r>
      <w:bookmarkEnd w:id="18"/>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Bộ trưởng Bộ Nông nghiệp và Phát triển nông thôn quyết định việc tạm ngừng hoặc cấm xuất khẩu, nhập khẩu hoặc tiếp tục xuất khẩu, nhập khẩu vật thể thuộc diện kiểm dịch thực vật theo quy định tại Nghị định này.</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19" w:name="dieu_12"/>
      <w:r w:rsidRPr="00CC6AAB">
        <w:rPr>
          <w:b/>
          <w:bCs/>
          <w:color w:val="000000"/>
        </w:rPr>
        <w:t>Điều 12. Trình tự, thủ tục đối với việc tạm ngừng hoặc cấm xuất khẩu, nhập khẩu vật thể thuộc diện kiểm dịch thực vật</w:t>
      </w:r>
      <w:bookmarkEnd w:id="19"/>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Căn cứ vào quy định tại Điều 8 và Điều 10 của Nghị định này, cơ quan chuyên ngành bảo vệ và kiểm dịch thực vật ở trung ương xác định cụ thể loại vật thể phải tạm ngừng hoặc cấm xuất khẩu, nhập khẩu; nguyên nhân phải tạm ngừng hoặc cấm xuất khẩu, nhập khẩu đối với một quốc gia hoặc vùng lãnh thổ nhất định và báo cáo Bộ trưởng Bộ Nông nghiệp và Phát triển nông thôn.</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Bộ trưởng Bộ Nông nghiệp và Phát triển nông thôn căn cứ báo cáo của cơ quan chuyên ngành bảo vệ và kiểm dịch thực vật ở trung ương để xem xét, trong trường hợp cần thiết tổ chức họp lấy ý kiến của các Bộ, ngành liên quan trước khi quyết định tạm ngừng hoặc cấm xuất khẩu, nhập khẩu vật thể.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3. Quyết định tạm ngừng hoặc cấm xuất khẩu, nhập khẩu vật thể phải quy định cụ thể các nội dung sau:</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a) Tên vật thể bao gồm cả tên khoa học;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b) Tên quốc gia hoặc vùng lãnh thổ mà từ đó vật thể được xuất khẩu sang Việt Nam hoặc nhập khẩu từ Việt Nam;</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c) Nguyên nhân phải tạm ngừng hoặc cấm xuất khẩu, nhập khẩu bao gồm cơ sở pháp lý và cơ sở khoa học;</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d) Quyết định có hiệu lực sau 02 tháng (60 ngày) kể từ ngày ký và trong thời hạn 24 giờ phải được công bố chính thức trên các phương tiện thông tin đại chúng và thông báo cho cơ quan có thẩm quyền về kiểm dịch thực vật của quốc gia hoặc vùng lãnh thổ xuất khẩu.</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20" w:name="dieu_13"/>
      <w:r w:rsidRPr="00CC6AAB">
        <w:rPr>
          <w:b/>
          <w:bCs/>
          <w:color w:val="000000"/>
        </w:rPr>
        <w:t>Điều 13. Trình tự, thủ tục tiếp tục xuất khẩu, nhập khẩu vật thể thuộc diện kiểm dịch thực vật</w:t>
      </w:r>
      <w:bookmarkEnd w:id="20"/>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Căn cứ vào quy định tại Điều 9 của Nghị định này, cơ quan chuyên ngành bảo vệ và kiểm dịch thực vật ở trung ương kiểm tra, giám sát, xác nhận việc thực hiện hiệu quả các biện pháp khắc phục và báo cáo Bộ trưởng Bộ Nông nghiệp và Phát triển nông thôn.</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2. Bộ trưởng Bộ Nông nghiệp và Phát triển nông thôn căn cứ báo cáo của cơ quan chuyên ngành bảo vệ và kiểm dịch thực vật ở trung ương xem xét để quyết định tiếp tục xuất khẩu, nhập khẩu vật thể.</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3. Quyết định tiếp tục xuất khẩu, nhập khẩu vật thể có hiệu lực kể từ ngày ký và trong thời hạn 24 giờ phải được công bố chính thức trên các phương tiện thông tin đại chúng và thông báo cho cơ quan có thẩm quyền về kiểm dịch thực vật của quốc gia hoặc vùng lãnh thổ xuất khẩu.</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21" w:name="chuong_4"/>
      <w:r w:rsidRPr="00CC6AAB">
        <w:rPr>
          <w:b/>
          <w:bCs/>
          <w:color w:val="000000"/>
        </w:rPr>
        <w:t>Chương IV</w:t>
      </w:r>
      <w:bookmarkEnd w:id="21"/>
    </w:p>
    <w:p w:rsidR="00315C25" w:rsidRPr="00CC6AAB" w:rsidRDefault="00315C25" w:rsidP="00C92C77">
      <w:pPr>
        <w:pStyle w:val="NormalWeb"/>
        <w:shd w:val="clear" w:color="auto" w:fill="FFFFFF"/>
        <w:spacing w:before="0" w:beforeAutospacing="0" w:after="0" w:afterAutospacing="0" w:line="234" w:lineRule="atLeast"/>
        <w:jc w:val="center"/>
        <w:rPr>
          <w:color w:val="000000"/>
        </w:rPr>
      </w:pPr>
      <w:bookmarkStart w:id="22" w:name="chuong_4_name"/>
      <w:r w:rsidRPr="00CC6AAB">
        <w:rPr>
          <w:b/>
          <w:bCs/>
          <w:color w:val="000000"/>
        </w:rPr>
        <w:t>ĐIỀU KHOẢN THI HÀNH</w:t>
      </w:r>
      <w:bookmarkEnd w:id="22"/>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23" w:name="dieu_14"/>
      <w:r w:rsidRPr="00CC6AAB">
        <w:rPr>
          <w:b/>
          <w:bCs/>
          <w:color w:val="000000"/>
        </w:rPr>
        <w:t>Điều 14. Hiệu lực thi hành</w:t>
      </w:r>
      <w:bookmarkEnd w:id="23"/>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1. Nghị định này có hiệu lực thi hành kể từ ngày 18 tháng 01 năm 2015.</w:t>
      </w:r>
    </w:p>
    <w:p w:rsidR="00315C25" w:rsidRPr="00CC6AAB" w:rsidRDefault="00315C25" w:rsidP="00C92C77">
      <w:pPr>
        <w:pStyle w:val="NormalWeb"/>
        <w:shd w:val="clear" w:color="auto" w:fill="FFFFFF"/>
        <w:spacing w:before="0" w:beforeAutospacing="0" w:after="0" w:afterAutospacing="0" w:line="234" w:lineRule="atLeast"/>
        <w:rPr>
          <w:color w:val="000000"/>
        </w:rPr>
      </w:pPr>
      <w:r w:rsidRPr="00CC6AAB">
        <w:rPr>
          <w:color w:val="000000"/>
        </w:rPr>
        <w:t>2. Điều lệ bảo vệ thực vật, Điều lệ quản lý thuốc bảo vệ thực vật ban hành kèm theo Nghị định số</w:t>
      </w:r>
      <w:hyperlink r:id="rId6" w:tgtFrame="_blank" w:history="1">
        <w:r w:rsidRPr="00CC6AAB">
          <w:rPr>
            <w:rStyle w:val="Hyperlink"/>
            <w:color w:val="0E70C3"/>
          </w:rPr>
          <w:t>58/2002/NĐ-CP</w:t>
        </w:r>
      </w:hyperlink>
      <w:r w:rsidRPr="00CC6AAB">
        <w:rPr>
          <w:rStyle w:val="apple-converted-space"/>
          <w:color w:val="000000"/>
        </w:rPr>
        <w:t> </w:t>
      </w:r>
      <w:r w:rsidRPr="00CC6AAB">
        <w:rPr>
          <w:color w:val="000000"/>
        </w:rPr>
        <w:t>ngày 03 tháng 6 năm 2002 của Chính phủ; Nghị định số</w:t>
      </w:r>
      <w:r w:rsidRPr="00CC6AAB">
        <w:rPr>
          <w:rStyle w:val="apple-converted-space"/>
          <w:color w:val="000000"/>
        </w:rPr>
        <w:t> </w:t>
      </w:r>
      <w:hyperlink r:id="rId7" w:tgtFrame="_blank" w:history="1">
        <w:r w:rsidRPr="00CC6AAB">
          <w:rPr>
            <w:rStyle w:val="Hyperlink"/>
            <w:color w:val="0E70C3"/>
          </w:rPr>
          <w:t>02/2007/NĐ-CP</w:t>
        </w:r>
      </w:hyperlink>
      <w:r w:rsidRPr="00CC6AAB">
        <w:rPr>
          <w:rStyle w:val="apple-converted-space"/>
          <w:color w:val="000000"/>
        </w:rPr>
        <w:t> </w:t>
      </w:r>
      <w:r w:rsidRPr="00CC6AAB">
        <w:rPr>
          <w:color w:val="000000"/>
        </w:rPr>
        <w:t>ngày 05 tháng 01 năm 2007 của Chính phủ quy định về kiểm dịch thực vật hết hiệu lực kể từ ngày Nghị định này có hiệu lực.</w:t>
      </w:r>
    </w:p>
    <w:p w:rsidR="00315C25" w:rsidRPr="00CC6AAB" w:rsidRDefault="00315C25" w:rsidP="00C92C77">
      <w:pPr>
        <w:pStyle w:val="NormalWeb"/>
        <w:shd w:val="clear" w:color="auto" w:fill="FFFFFF"/>
        <w:spacing w:before="0" w:beforeAutospacing="0" w:after="0" w:afterAutospacing="0" w:line="234" w:lineRule="atLeast"/>
        <w:rPr>
          <w:color w:val="000000"/>
        </w:rPr>
      </w:pPr>
      <w:bookmarkStart w:id="24" w:name="dieu_15"/>
      <w:r w:rsidRPr="00CC6AAB">
        <w:rPr>
          <w:b/>
          <w:bCs/>
          <w:color w:val="000000"/>
        </w:rPr>
        <w:t>Điều 15. Trách nhiệm thi hành</w:t>
      </w:r>
      <w:bookmarkEnd w:id="24"/>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Các Bộ trưởng, Thủ trưởng cơ quan ngang Bộ, Thủ trưởng cơ quan thuộc Chính phủ, Chủ tịch Ủy ban nhân dân tỉnh, thành phố trực thuộc Trung ương và các cơ quan liên quan chịu trách nhiệm thi hành Nghị định này./.</w:t>
      </w:r>
    </w:p>
    <w:p w:rsidR="00315C25" w:rsidRPr="00CC6AAB" w:rsidRDefault="00315C25" w:rsidP="00C92C77">
      <w:pPr>
        <w:pStyle w:val="NormalWeb"/>
        <w:shd w:val="clear" w:color="auto" w:fill="FFFFFF"/>
        <w:spacing w:before="120" w:beforeAutospacing="0" w:after="0" w:afterAutospacing="0" w:line="234" w:lineRule="atLeast"/>
        <w:rPr>
          <w:color w:val="000000"/>
        </w:rPr>
      </w:pPr>
      <w:r w:rsidRPr="00CC6AAB">
        <w:rPr>
          <w:color w:val="000000"/>
        </w:rPr>
        <w:t> </w:t>
      </w:r>
    </w:p>
    <w:tbl>
      <w:tblPr>
        <w:tblW w:w="0" w:type="auto"/>
        <w:tblCellSpacing w:w="0" w:type="dxa"/>
        <w:tblCellMar>
          <w:left w:w="0" w:type="dxa"/>
          <w:right w:w="0" w:type="dxa"/>
        </w:tblCellMar>
        <w:tblLook w:val="0000"/>
      </w:tblPr>
      <w:tblGrid>
        <w:gridCol w:w="4608"/>
        <w:gridCol w:w="4248"/>
      </w:tblGrid>
      <w:tr w:rsidR="00315C25" w:rsidRPr="00CC6AAB" w:rsidTr="00487BB1">
        <w:trPr>
          <w:tblCellSpacing w:w="0" w:type="dxa"/>
        </w:trPr>
        <w:tc>
          <w:tcPr>
            <w:tcW w:w="4608" w:type="dxa"/>
            <w:shd w:val="clear" w:color="auto" w:fill="FFFFFF"/>
            <w:tcMar>
              <w:top w:w="0" w:type="dxa"/>
              <w:left w:w="108" w:type="dxa"/>
              <w:bottom w:w="0" w:type="dxa"/>
              <w:right w:w="108" w:type="dxa"/>
            </w:tcMar>
          </w:tcPr>
          <w:p w:rsidR="00315C25" w:rsidRPr="00CC6AAB" w:rsidRDefault="00315C25" w:rsidP="00487BB1">
            <w:pPr>
              <w:pStyle w:val="NormalWeb"/>
              <w:spacing w:before="120" w:beforeAutospacing="0" w:after="0" w:afterAutospacing="0" w:line="234" w:lineRule="atLeast"/>
              <w:rPr>
                <w:color w:val="000000"/>
              </w:rPr>
            </w:pPr>
            <w:r w:rsidRPr="00CC6AAB">
              <w:rPr>
                <w:color w:val="000000"/>
              </w:rPr>
              <w:t> </w:t>
            </w:r>
          </w:p>
          <w:p w:rsidR="00315C25" w:rsidRPr="00CC6AAB" w:rsidRDefault="00315C25" w:rsidP="00487BB1">
            <w:pPr>
              <w:pStyle w:val="NormalWeb"/>
              <w:spacing w:before="120" w:beforeAutospacing="0" w:after="0" w:afterAutospacing="0" w:line="234" w:lineRule="atLeast"/>
              <w:rPr>
                <w:color w:val="000000"/>
              </w:rPr>
            </w:pPr>
            <w:r w:rsidRPr="00CC6AAB">
              <w:rPr>
                <w:b/>
                <w:bCs/>
                <w:i/>
                <w:iCs/>
                <w:color w:val="000000"/>
              </w:rPr>
              <w:t>Nơi nhận:</w:t>
            </w:r>
            <w:r w:rsidRPr="00CC6AAB">
              <w:rPr>
                <w:b/>
                <w:bCs/>
                <w:i/>
                <w:iCs/>
                <w:color w:val="000000"/>
              </w:rPr>
              <w:br/>
            </w:r>
            <w:r w:rsidRPr="00CC6AAB">
              <w:rPr>
                <w:color w:val="000000"/>
              </w:rPr>
              <w:t>- Ban Bí thư Trung ương Đảng;</w:t>
            </w:r>
            <w:r w:rsidRPr="00CC6AAB">
              <w:rPr>
                <w:color w:val="000000"/>
              </w:rPr>
              <w:br/>
              <w:t>- Thủ tướng, các Phó Thủ tướng Chính phủ;</w:t>
            </w:r>
            <w:r w:rsidRPr="00CC6AAB">
              <w:rPr>
                <w:color w:val="000000"/>
              </w:rPr>
              <w:br/>
              <w:t>- Các Bộ, cơ quan ngang Bộ, cơ quan thuộc Chính phủ;</w:t>
            </w:r>
            <w:r w:rsidRPr="00CC6AAB">
              <w:rPr>
                <w:color w:val="000000"/>
              </w:rPr>
              <w:br/>
              <w:t>- HĐND, UBND các tỉnh, thành phố trực thuộc Trung ương;</w:t>
            </w:r>
            <w:r w:rsidRPr="00CC6AAB">
              <w:rPr>
                <w:color w:val="000000"/>
              </w:rPr>
              <w:br/>
              <w:t>- Văn phòng Trung ương và các Ban của Đảng;</w:t>
            </w:r>
            <w:r w:rsidRPr="00CC6AAB">
              <w:rPr>
                <w:color w:val="000000"/>
              </w:rPr>
              <w:br/>
              <w:t>- Văn phòng Tổng Bí thư;</w:t>
            </w:r>
            <w:r w:rsidRPr="00CC6AAB">
              <w:rPr>
                <w:color w:val="000000"/>
              </w:rPr>
              <w:br/>
              <w:t>- Văn phòng Chủ tịch nước;</w:t>
            </w:r>
            <w:r w:rsidRPr="00CC6AAB">
              <w:rPr>
                <w:color w:val="000000"/>
              </w:rPr>
              <w:br/>
              <w:t>- Hội đồng Dân tộc và các Ủy ban của Quốc hội;</w:t>
            </w:r>
            <w:r w:rsidRPr="00CC6AAB">
              <w:rPr>
                <w:color w:val="000000"/>
              </w:rPr>
              <w:br/>
              <w:t>- Văn phòng Quốc hội;</w:t>
            </w:r>
            <w:r w:rsidRPr="00CC6AAB">
              <w:rPr>
                <w:color w:val="000000"/>
              </w:rPr>
              <w:br/>
              <w:t>- Tòa án nhân dân tối cao;</w:t>
            </w:r>
            <w:r w:rsidRPr="00CC6AAB">
              <w:rPr>
                <w:color w:val="000000"/>
              </w:rPr>
              <w:br/>
              <w:t>- Viện Kiểm sát nhân dân tối cao;</w:t>
            </w:r>
            <w:r w:rsidRPr="00CC6AAB">
              <w:rPr>
                <w:color w:val="000000"/>
              </w:rPr>
              <w:br/>
              <w:t>- Kiểm toán Nhà nước;</w:t>
            </w:r>
            <w:r w:rsidRPr="00CC6AAB">
              <w:rPr>
                <w:color w:val="000000"/>
              </w:rPr>
              <w:br/>
              <w:t>- Ủy ban Giám sát tài chính Quốc gia;</w:t>
            </w:r>
            <w:r w:rsidRPr="00CC6AAB">
              <w:rPr>
                <w:color w:val="000000"/>
              </w:rPr>
              <w:br/>
              <w:t>- Ngân hàng Chính sách xã hội;</w:t>
            </w:r>
            <w:r w:rsidRPr="00CC6AAB">
              <w:rPr>
                <w:color w:val="000000"/>
              </w:rPr>
              <w:br/>
              <w:t>- Ngân hàng Phát triển Việt Nam;</w:t>
            </w:r>
            <w:r w:rsidRPr="00CC6AAB">
              <w:rPr>
                <w:color w:val="000000"/>
              </w:rPr>
              <w:br/>
              <w:t>- Ủy ban Trung ương Mặt trận Tổ quốc Việt Nam;</w:t>
            </w:r>
            <w:r w:rsidRPr="00CC6AAB">
              <w:rPr>
                <w:color w:val="000000"/>
              </w:rPr>
              <w:br/>
              <w:t>- Cơ quan Trung ương của các đoàn thể;</w:t>
            </w:r>
            <w:r w:rsidRPr="00CC6AAB">
              <w:rPr>
                <w:color w:val="000000"/>
              </w:rPr>
              <w:br/>
              <w:t>- VPCP: BTCN; các PCN, Trợ lý TTg,TGĐ Cổng TTĐT, các Vụ, Cục, đơn vị trực thuộc, Công báo;</w:t>
            </w:r>
            <w:r w:rsidRPr="00CC6AAB">
              <w:rPr>
                <w:color w:val="000000"/>
              </w:rPr>
              <w:br/>
              <w:t>- Lưu: Văn thư, KTN (3b).</w:t>
            </w:r>
          </w:p>
        </w:tc>
        <w:tc>
          <w:tcPr>
            <w:tcW w:w="4248" w:type="dxa"/>
            <w:shd w:val="clear" w:color="auto" w:fill="FFFFFF"/>
            <w:tcMar>
              <w:top w:w="0" w:type="dxa"/>
              <w:left w:w="108" w:type="dxa"/>
              <w:bottom w:w="0" w:type="dxa"/>
              <w:right w:w="108" w:type="dxa"/>
            </w:tcMar>
          </w:tcPr>
          <w:p w:rsidR="00315C25" w:rsidRPr="00CC6AAB" w:rsidRDefault="00315C25" w:rsidP="00487BB1">
            <w:pPr>
              <w:pStyle w:val="NormalWeb"/>
              <w:spacing w:before="120" w:beforeAutospacing="0" w:after="0" w:afterAutospacing="0" w:line="234" w:lineRule="atLeast"/>
              <w:jc w:val="center"/>
              <w:rPr>
                <w:color w:val="000000"/>
              </w:rPr>
            </w:pPr>
            <w:r w:rsidRPr="00CC6AAB">
              <w:rPr>
                <w:b/>
                <w:bCs/>
                <w:color w:val="000000"/>
              </w:rPr>
              <w:t>TM. CHÍNH PHỦ</w:t>
            </w:r>
            <w:r w:rsidRPr="00CC6AAB">
              <w:rPr>
                <w:b/>
                <w:bCs/>
                <w:color w:val="000000"/>
              </w:rPr>
              <w:br/>
              <w:t>THỦ TƯỚNG</w:t>
            </w:r>
            <w:r w:rsidRPr="00CC6AAB">
              <w:rPr>
                <w:b/>
                <w:bCs/>
                <w:color w:val="000000"/>
              </w:rPr>
              <w:br/>
            </w:r>
            <w:r w:rsidRPr="00CC6AAB">
              <w:rPr>
                <w:b/>
                <w:bCs/>
                <w:color w:val="000000"/>
              </w:rPr>
              <w:br/>
            </w:r>
            <w:r w:rsidRPr="00CC6AAB">
              <w:rPr>
                <w:b/>
                <w:bCs/>
                <w:color w:val="000000"/>
              </w:rPr>
              <w:br/>
            </w:r>
            <w:r w:rsidRPr="00CC6AAB">
              <w:rPr>
                <w:b/>
                <w:bCs/>
                <w:color w:val="000000"/>
              </w:rPr>
              <w:br/>
            </w:r>
            <w:r w:rsidRPr="00CC6AAB">
              <w:rPr>
                <w:b/>
                <w:bCs/>
                <w:color w:val="000000"/>
              </w:rPr>
              <w:br/>
              <w:t>Nguyễn Tấn Dũng</w:t>
            </w:r>
          </w:p>
        </w:tc>
      </w:tr>
    </w:tbl>
    <w:p w:rsidR="00315C25" w:rsidRPr="00CC6AAB" w:rsidRDefault="00315C25" w:rsidP="00C92C77"/>
    <w:p w:rsidR="00315C25" w:rsidRPr="00C92C77" w:rsidRDefault="00315C25" w:rsidP="00C92C77"/>
    <w:sectPr w:rsidR="00315C25" w:rsidRPr="00C92C77" w:rsidSect="00D9152F">
      <w:headerReference w:type="even" r:id="rId8"/>
      <w:headerReference w:type="default" r:id="rId9"/>
      <w:footerReference w:type="even" r:id="rId10"/>
      <w:footerReference w:type="default" r:id="rId11"/>
      <w:headerReference w:type="first" r:id="rId12"/>
      <w:footerReference w:type="first" r:id="rId13"/>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25" w:rsidRDefault="00315C25" w:rsidP="00D9152F">
      <w:r>
        <w:separator/>
      </w:r>
    </w:p>
  </w:endnote>
  <w:endnote w:type="continuationSeparator" w:id="0">
    <w:p w:rsidR="00315C25" w:rsidRDefault="00315C25"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25" w:rsidRDefault="00315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25" w:rsidRPr="00D9152F" w:rsidRDefault="00315C25">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25" w:rsidRDefault="00315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25" w:rsidRDefault="00315C25" w:rsidP="00D9152F">
      <w:r>
        <w:separator/>
      </w:r>
    </w:p>
  </w:footnote>
  <w:footnote w:type="continuationSeparator" w:id="0">
    <w:p w:rsidR="00315C25" w:rsidRDefault="00315C25"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25" w:rsidRDefault="00315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1985"/>
      <w:gridCol w:w="8356"/>
    </w:tblGrid>
    <w:tr w:rsidR="00315C25" w:rsidRPr="00485341" w:rsidTr="00C33E66">
      <w:trPr>
        <w:trHeight w:val="1208"/>
      </w:trPr>
      <w:tc>
        <w:tcPr>
          <w:tcW w:w="2411" w:type="dxa"/>
          <w:tcBorders>
            <w:bottom w:val="single" w:sz="4" w:space="0" w:color="auto"/>
          </w:tcBorders>
        </w:tcPr>
        <w:p w:rsidR="00315C25" w:rsidRPr="00485341" w:rsidRDefault="00315C25" w:rsidP="00C33E66">
          <w:pPr>
            <w:jc w:val="both"/>
            <w:rPr>
              <w:b/>
              <w:sz w:val="20"/>
              <w:szCs w:val="20"/>
            </w:rPr>
          </w:pPr>
          <w:r w:rsidRPr="00485341">
            <w:rPr>
              <w:b/>
              <w:sz w:val="20"/>
              <w:szCs w:val="20"/>
            </w:rPr>
            <w:t xml:space="preserve">        </w:t>
          </w:r>
          <w:r w:rsidRPr="00E94281">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LOGO" style="width:76.5pt;height:69.75pt;visibility:visible">
                <v:imagedata r:id="rId1" o:title=""/>
              </v:shape>
            </w:pict>
          </w:r>
          <w:r w:rsidRPr="00485341">
            <w:rPr>
              <w:b/>
              <w:sz w:val="20"/>
              <w:szCs w:val="20"/>
            </w:rPr>
            <w:t xml:space="preserve">                                                                                                                                                                                                                                                                                                                                                                                                                                                                                              </w:t>
          </w:r>
        </w:p>
      </w:tc>
      <w:tc>
        <w:tcPr>
          <w:tcW w:w="8356" w:type="dxa"/>
          <w:tcBorders>
            <w:bottom w:val="single" w:sz="4" w:space="0" w:color="auto"/>
          </w:tcBorders>
        </w:tcPr>
        <w:p w:rsidR="00315C25" w:rsidRPr="00485341" w:rsidRDefault="00315C25"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315C25" w:rsidRPr="00485341" w:rsidRDefault="00315C25"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315C25" w:rsidRPr="00485341" w:rsidRDefault="00315C25" w:rsidP="00C33E66">
          <w:pPr>
            <w:jc w:val="both"/>
            <w:rPr>
              <w:sz w:val="20"/>
              <w:szCs w:val="20"/>
            </w:rPr>
          </w:pPr>
          <w:r w:rsidRPr="00485341">
            <w:rPr>
              <w:sz w:val="20"/>
              <w:szCs w:val="20"/>
            </w:rPr>
            <w:t>Tel:   1900.6212 – 1900.6239 – 1900.6190   Fax: 04.3562.7716</w:t>
          </w:r>
        </w:p>
        <w:p w:rsidR="00315C25" w:rsidRPr="00485341" w:rsidRDefault="00315C25"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315C25" w:rsidRPr="002F4299" w:rsidRDefault="00315C25">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25" w:rsidRDefault="00315C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2F"/>
    <w:rsid w:val="002306A0"/>
    <w:rsid w:val="002F4299"/>
    <w:rsid w:val="00315C25"/>
    <w:rsid w:val="003414AF"/>
    <w:rsid w:val="003A6174"/>
    <w:rsid w:val="003C3FB5"/>
    <w:rsid w:val="003C79A4"/>
    <w:rsid w:val="003E25C5"/>
    <w:rsid w:val="0042777A"/>
    <w:rsid w:val="004727A1"/>
    <w:rsid w:val="00485341"/>
    <w:rsid w:val="00487BB1"/>
    <w:rsid w:val="004F3D9C"/>
    <w:rsid w:val="00571B54"/>
    <w:rsid w:val="00817063"/>
    <w:rsid w:val="00882829"/>
    <w:rsid w:val="00C2236C"/>
    <w:rsid w:val="00C33E66"/>
    <w:rsid w:val="00C70A15"/>
    <w:rsid w:val="00C92C77"/>
    <w:rsid w:val="00CC6AAB"/>
    <w:rsid w:val="00D9152F"/>
    <w:rsid w:val="00E441F9"/>
    <w:rsid w:val="00E94281"/>
    <w:rsid w:val="00F66DE7"/>
    <w:rsid w:val="00FC4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rPr>
      <w:rFonts w:eastAsia="Times New Roman"/>
      <w:sz w:val="24"/>
      <w:szCs w:val="24"/>
    </w:rPr>
  </w:style>
  <w:style w:type="paragraph" w:styleId="Heading6">
    <w:name w:val="heading 6"/>
    <w:basedOn w:val="Normal"/>
    <w:next w:val="Normal"/>
    <w:link w:val="Heading6Char"/>
    <w:uiPriority w:val="99"/>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D9152F"/>
    <w:rPr>
      <w:rFonts w:ascii="Calibri" w:hAnsi="Calibri" w:cs="Times New Roman"/>
      <w:b/>
      <w:bCs/>
      <w:sz w:val="22"/>
    </w:rPr>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locked/>
    <w:rsid w:val="00D9152F"/>
    <w:rPr>
      <w:rFonts w:ascii="Verdana" w:hAnsi="Verdana" w:cs="Times New Roman"/>
      <w:b/>
      <w:bCs/>
      <w:i/>
      <w:iCs/>
      <w:color w:val="3366FF"/>
      <w:sz w:val="18"/>
      <w:szCs w:val="18"/>
    </w:rPr>
  </w:style>
  <w:style w:type="character" w:styleId="Strong">
    <w:name w:val="Strong"/>
    <w:basedOn w:val="DefaultParagraphFont"/>
    <w:uiPriority w:val="99"/>
    <w:qFormat/>
    <w:rsid w:val="00D9152F"/>
    <w:rPr>
      <w:rFonts w:cs="Times New Roman"/>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uiPriority w:val="99"/>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uiPriority w:val="99"/>
    <w:rsid w:val="00D9152F"/>
    <w:pPr>
      <w:spacing w:before="150" w:after="75"/>
      <w:ind w:left="150" w:right="75"/>
    </w:pPr>
    <w:rPr>
      <w:rFonts w:ascii="Geneva" w:hAnsi="Geneva"/>
      <w:b/>
      <w:bCs/>
      <w:color w:val="0000FF"/>
      <w:sz w:val="20"/>
      <w:szCs w:val="20"/>
    </w:rPr>
  </w:style>
  <w:style w:type="paragraph" w:customStyle="1" w:styleId="prgtitle">
    <w:name w:val="prg_title"/>
    <w:basedOn w:val="Normal"/>
    <w:uiPriority w:val="99"/>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uiPriority w:val="99"/>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uiPriority w:val="99"/>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uiPriority w:val="99"/>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uiPriority w:val="99"/>
    <w:rsid w:val="00D9152F"/>
    <w:pPr>
      <w:spacing w:before="30" w:after="30"/>
      <w:ind w:left="30" w:right="30"/>
      <w:jc w:val="both"/>
    </w:pPr>
    <w:rPr>
      <w:rFonts w:ascii="Geneva" w:hAnsi="Geneva"/>
      <w:sz w:val="20"/>
      <w:szCs w:val="20"/>
    </w:rPr>
  </w:style>
  <w:style w:type="paragraph" w:customStyle="1" w:styleId="frame600">
    <w:name w:val="frame600"/>
    <w:basedOn w:val="Normal"/>
    <w:uiPriority w:val="99"/>
    <w:rsid w:val="00D9152F"/>
    <w:pPr>
      <w:jc w:val="both"/>
    </w:pPr>
    <w:rPr>
      <w:rFonts w:ascii="Geneva" w:hAnsi="Geneva"/>
      <w:sz w:val="20"/>
      <w:szCs w:val="20"/>
    </w:rPr>
  </w:style>
  <w:style w:type="paragraph" w:customStyle="1" w:styleId="frame620">
    <w:name w:val="frame620"/>
    <w:basedOn w:val="Normal"/>
    <w:uiPriority w:val="99"/>
    <w:rsid w:val="00D9152F"/>
    <w:pPr>
      <w:jc w:val="both"/>
    </w:pPr>
    <w:rPr>
      <w:rFonts w:ascii="Geneva" w:hAnsi="Geneva"/>
      <w:sz w:val="20"/>
      <w:szCs w:val="20"/>
    </w:rPr>
  </w:style>
  <w:style w:type="paragraph" w:customStyle="1" w:styleId="iehackwrap">
    <w:name w:val="iehackwrap"/>
    <w:basedOn w:val="Normal"/>
    <w:uiPriority w:val="99"/>
    <w:rsid w:val="00D9152F"/>
    <w:pPr>
      <w:spacing w:before="100" w:beforeAutospacing="1" w:after="100" w:afterAutospacing="1"/>
      <w:jc w:val="center"/>
    </w:pPr>
    <w:rPr>
      <w:rFonts w:ascii="Geneva" w:hAnsi="Geneva"/>
      <w:sz w:val="20"/>
      <w:szCs w:val="20"/>
    </w:rPr>
  </w:style>
  <w:style w:type="paragraph" w:customStyle="1" w:styleId="center">
    <w:name w:val="center"/>
    <w:basedOn w:val="Normal"/>
    <w:uiPriority w:val="99"/>
    <w:rsid w:val="00D9152F"/>
    <w:pPr>
      <w:spacing w:before="100" w:beforeAutospacing="1" w:after="100" w:afterAutospacing="1"/>
      <w:jc w:val="both"/>
    </w:pPr>
    <w:rPr>
      <w:rFonts w:ascii="Geneva" w:hAnsi="Geneva"/>
      <w:sz w:val="20"/>
      <w:szCs w:val="20"/>
    </w:rPr>
  </w:style>
  <w:style w:type="paragraph" w:customStyle="1" w:styleId="ndlogo">
    <w:name w:val="nd_logo"/>
    <w:basedOn w:val="Normal"/>
    <w:uiPriority w:val="99"/>
    <w:rsid w:val="00D9152F"/>
    <w:pPr>
      <w:textAlignment w:val="top"/>
    </w:pPr>
    <w:rPr>
      <w:rFonts w:ascii="Geneva" w:hAnsi="Geneva"/>
      <w:sz w:val="20"/>
      <w:szCs w:val="20"/>
    </w:rPr>
  </w:style>
  <w:style w:type="paragraph" w:customStyle="1" w:styleId="footnotes">
    <w:name w:val="footnotes"/>
    <w:basedOn w:val="Normal"/>
    <w:uiPriority w:val="99"/>
    <w:rsid w:val="00D9152F"/>
    <w:pPr>
      <w:textAlignment w:val="top"/>
    </w:pPr>
    <w:rPr>
      <w:rFonts w:ascii="Geneva" w:hAnsi="Geneva"/>
      <w:sz w:val="15"/>
      <w:szCs w:val="15"/>
    </w:rPr>
  </w:style>
  <w:style w:type="paragraph" w:customStyle="1" w:styleId="line">
    <w:name w:val="line"/>
    <w:basedOn w:val="Normal"/>
    <w:uiPriority w:val="99"/>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uiPriority w:val="99"/>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uiPriority w:val="99"/>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uiPriority w:val="99"/>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uiPriority w:val="99"/>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uiPriority w:val="99"/>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uiPriority w:val="99"/>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uiPriority w:val="99"/>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uiPriority w:val="99"/>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uiPriority w:val="99"/>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uiPriority w:val="99"/>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uiPriority w:val="99"/>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uiPriority w:val="99"/>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uiPriority w:val="99"/>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uiPriority w:val="99"/>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uiPriority w:val="99"/>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uiPriority w:val="99"/>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uiPriority w:val="99"/>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uiPriority w:val="99"/>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uiPriority w:val="99"/>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uiPriority w:val="99"/>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uiPriority w:val="99"/>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uiPriority w:val="99"/>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uiPriority w:val="99"/>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uiPriority w:val="99"/>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uiPriority w:val="99"/>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uiPriority w:val="99"/>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uiPriority w:val="99"/>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uiPriority w:val="99"/>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uiPriority w:val="99"/>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uiPriority w:val="99"/>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uiPriority w:val="99"/>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uiPriority w:val="99"/>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uiPriority w:val="99"/>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uiPriority w:val="99"/>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uiPriority w:val="99"/>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uiPriority w:val="99"/>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uiPriority w:val="99"/>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uiPriority w:val="99"/>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uiPriority w:val="99"/>
    <w:rsid w:val="00D9152F"/>
    <w:pPr>
      <w:spacing w:before="100" w:beforeAutospacing="1" w:after="100" w:afterAutospacing="1"/>
      <w:jc w:val="both"/>
    </w:pPr>
    <w:rPr>
      <w:i/>
      <w:iCs/>
      <w:color w:val="009900"/>
    </w:rPr>
  </w:style>
  <w:style w:type="paragraph" w:customStyle="1" w:styleId="titletho">
    <w:name w:val="title_tho"/>
    <w:basedOn w:val="Normal"/>
    <w:uiPriority w:val="99"/>
    <w:rsid w:val="00D9152F"/>
    <w:pPr>
      <w:spacing w:before="100" w:beforeAutospacing="1" w:after="100" w:afterAutospacing="1"/>
      <w:jc w:val="both"/>
    </w:pPr>
    <w:rPr>
      <w:b/>
      <w:bCs/>
      <w:sz w:val="20"/>
      <w:szCs w:val="20"/>
    </w:rPr>
  </w:style>
  <w:style w:type="paragraph" w:customStyle="1" w:styleId="thitruong">
    <w:name w:val="thitruong"/>
    <w:basedOn w:val="Normal"/>
    <w:uiPriority w:val="99"/>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uiPriority w:val="99"/>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uiPriority w:val="99"/>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uiPriority w:val="99"/>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uiPriority w:val="99"/>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uiPriority w:val="99"/>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uiPriority w:val="99"/>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uiPriority w:val="99"/>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99"/>
    <w:qFormat/>
    <w:rsid w:val="00D9152F"/>
    <w:rPr>
      <w:rFonts w:cs="Times New Roman"/>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locked/>
    <w:rsid w:val="00D9152F"/>
    <w:rPr>
      <w:rFonts w:ascii="Arial" w:hAnsi="Arial" w:cs="Arial"/>
      <w:b/>
      <w:bCs/>
      <w:sz w:val="20"/>
      <w:szCs w:val="20"/>
    </w:rPr>
  </w:style>
  <w:style w:type="paragraph" w:styleId="BodyTextIndent2">
    <w:name w:val="Body Text Indent 2"/>
    <w:basedOn w:val="Normal"/>
    <w:link w:val="BodyTextIndent2Char"/>
    <w:uiPriority w:val="99"/>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locked/>
    <w:rsid w:val="00D9152F"/>
    <w:rPr>
      <w:rFonts w:ascii="Arial"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locked/>
    <w:rsid w:val="00D9152F"/>
    <w:rPr>
      <w:rFonts w:ascii="Arial" w:hAnsi="Arial" w:cs="Arial"/>
      <w:b/>
      <w:bCs/>
      <w:i/>
      <w:iCs/>
      <w:sz w:val="20"/>
      <w:szCs w:val="20"/>
    </w:rPr>
  </w:style>
  <w:style w:type="paragraph" w:styleId="BodyTextIndent3">
    <w:name w:val="Body Text Indent 3"/>
    <w:basedOn w:val="Normal"/>
    <w:link w:val="BodyTextIndent3Char"/>
    <w:uiPriority w:val="99"/>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uiPriority w:val="99"/>
    <w:locked/>
    <w:rsid w:val="00D9152F"/>
    <w:rPr>
      <w:rFonts w:ascii="Arial"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locked/>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locked/>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52F"/>
    <w:rPr>
      <w:rFonts w:ascii="Tahoma" w:hAnsi="Tahoma" w:cs="Tahoma"/>
      <w:sz w:val="16"/>
      <w:szCs w:val="16"/>
    </w:rPr>
  </w:style>
  <w:style w:type="character" w:styleId="Hyperlink">
    <w:name w:val="Hyperlink"/>
    <w:basedOn w:val="DefaultParagraphFont"/>
    <w:uiPriority w:val="99"/>
    <w:rsid w:val="00D9152F"/>
    <w:rPr>
      <w:rFonts w:cs="Times New Roman"/>
      <w:color w:val="000080"/>
      <w:u w:val="single"/>
    </w:rPr>
  </w:style>
  <w:style w:type="character" w:customStyle="1" w:styleId="apple-converted-space">
    <w:name w:val="apple-converted-space"/>
    <w:basedOn w:val="DefaultParagraphFont"/>
    <w:uiPriority w:val="99"/>
    <w:rsid w:val="004F3D9C"/>
    <w:rPr>
      <w:rFonts w:cs="Times New Roman"/>
    </w:rPr>
  </w:style>
  <w:style w:type="character" w:styleId="FollowedHyperlink">
    <w:name w:val="FollowedHyperlink"/>
    <w:basedOn w:val="DefaultParagraphFont"/>
    <w:uiPriority w:val="99"/>
    <w:locked/>
    <w:rsid w:val="004F3D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859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uvienphapluat.vn/phap-luat/tim-van-ban.aspx?keyword=02/2007/N%C4%90-CP&amp;area=2&amp;type=0&amp;match=False&amp;vc=True&amp;lan=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58/2002/N%C4%90-CP&amp;area=2&amp;type=0&amp;match=False&amp;vc=True&amp;lan=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5</Pages>
  <Words>2618</Words>
  <Characters>14924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CUN</dc:creator>
  <cp:keywords/>
  <dc:description/>
  <cp:lastModifiedBy>Admin</cp:lastModifiedBy>
  <cp:revision>5</cp:revision>
  <dcterms:created xsi:type="dcterms:W3CDTF">2014-09-18T01:15:00Z</dcterms:created>
  <dcterms:modified xsi:type="dcterms:W3CDTF">2014-12-10T11:38:00Z</dcterms:modified>
</cp:coreProperties>
</file>