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A8" w:rsidRPr="000D6CA8" w:rsidRDefault="000D6CA8" w:rsidP="000D6CA8">
      <w:pPr>
        <w:shd w:val="clear" w:color="auto" w:fill="FFFFFF"/>
        <w:spacing w:after="0" w:line="234" w:lineRule="atLeast"/>
        <w:jc w:val="center"/>
        <w:rPr>
          <w:rFonts w:ascii="Times New Roman" w:eastAsia="Times New Roman" w:hAnsi="Times New Roman"/>
          <w:color w:val="000000"/>
          <w:sz w:val="24"/>
          <w:szCs w:val="24"/>
        </w:rPr>
      </w:pPr>
      <w:bookmarkStart w:id="0" w:name="chuong_phuluc_1_name"/>
      <w:proofErr w:type="spellStart"/>
      <w:r w:rsidRPr="000D6CA8">
        <w:rPr>
          <w:rFonts w:ascii="Times New Roman" w:eastAsia="Times New Roman" w:hAnsi="Times New Roman"/>
          <w:color w:val="000000"/>
          <w:sz w:val="24"/>
          <w:szCs w:val="24"/>
        </w:rPr>
        <w:t>Danh</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mục</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ngành</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nghề</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tính</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thuế</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giá</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trị</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gia</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tăng</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và</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thuế</w:t>
      </w:r>
      <w:proofErr w:type="spellEnd"/>
      <w:r w:rsidRPr="000D6CA8">
        <w:rPr>
          <w:rFonts w:ascii="Times New Roman" w:eastAsia="Times New Roman" w:hAnsi="Times New Roman"/>
          <w:color w:val="000000"/>
          <w:sz w:val="24"/>
          <w:szCs w:val="24"/>
        </w:rPr>
        <w:t xml:space="preserve"> </w:t>
      </w:r>
      <w:proofErr w:type="spellStart"/>
      <w:proofErr w:type="gramStart"/>
      <w:r w:rsidRPr="000D6CA8">
        <w:rPr>
          <w:rFonts w:ascii="Times New Roman" w:eastAsia="Times New Roman" w:hAnsi="Times New Roman"/>
          <w:color w:val="000000"/>
          <w:sz w:val="24"/>
          <w:szCs w:val="24"/>
        </w:rPr>
        <w:t>thu</w:t>
      </w:r>
      <w:proofErr w:type="spellEnd"/>
      <w:proofErr w:type="gram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nhập</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cá</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nhân</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theo</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tỷ</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lệ</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doanh</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thu</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đối</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với</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cá</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nhân</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kinh</w:t>
      </w:r>
      <w:proofErr w:type="spellEnd"/>
      <w:r w:rsidRPr="000D6CA8">
        <w:rPr>
          <w:rFonts w:ascii="Times New Roman" w:eastAsia="Times New Roman" w:hAnsi="Times New Roman"/>
          <w:color w:val="000000"/>
          <w:sz w:val="24"/>
          <w:szCs w:val="24"/>
        </w:rPr>
        <w:t xml:space="preserve"> </w:t>
      </w:r>
      <w:proofErr w:type="spellStart"/>
      <w:r w:rsidRPr="000D6CA8">
        <w:rPr>
          <w:rFonts w:ascii="Times New Roman" w:eastAsia="Times New Roman" w:hAnsi="Times New Roman"/>
          <w:color w:val="000000"/>
          <w:sz w:val="24"/>
          <w:szCs w:val="24"/>
        </w:rPr>
        <w:t>doanh</w:t>
      </w:r>
      <w:proofErr w:type="spellEnd"/>
    </w:p>
    <w:p w:rsidR="000D6CA8" w:rsidRPr="000D6CA8" w:rsidRDefault="000D6CA8" w:rsidP="000D6CA8">
      <w:pPr>
        <w:shd w:val="clear" w:color="auto" w:fill="FFFFFF"/>
        <w:spacing w:after="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vi-VN"/>
        </w:rPr>
        <w:t>DANH MỤC NGÀNH NGHỀ TÍNH THUẾ GTGT, THUẾ TNCN THEO TỶ LỆ % TRÊN DOANH THU ĐỐI VỚI CÁ NHÂN KINH DOANH</w:t>
      </w:r>
      <w:bookmarkEnd w:id="0"/>
    </w:p>
    <w:tbl>
      <w:tblPr>
        <w:tblW w:w="0" w:type="auto"/>
        <w:tblCellSpacing w:w="0" w:type="dxa"/>
        <w:shd w:val="clear" w:color="auto" w:fill="FFFFFF"/>
        <w:tblCellMar>
          <w:left w:w="0" w:type="dxa"/>
          <w:right w:w="0" w:type="dxa"/>
        </w:tblCellMar>
        <w:tblLook w:val="04A0"/>
      </w:tblPr>
      <w:tblGrid>
        <w:gridCol w:w="710"/>
        <w:gridCol w:w="6800"/>
        <w:gridCol w:w="1113"/>
        <w:gridCol w:w="993"/>
      </w:tblGrid>
      <w:tr w:rsidR="000D6CA8" w:rsidRPr="000D6CA8" w:rsidTr="000E29C6">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rPr>
              <w:t>STT</w:t>
            </w:r>
          </w:p>
        </w:tc>
        <w:tc>
          <w:tcPr>
            <w:tcW w:w="68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proofErr w:type="spellStart"/>
            <w:r w:rsidRPr="000D6CA8">
              <w:rPr>
                <w:rFonts w:ascii="Times New Roman" w:eastAsia="Times New Roman" w:hAnsi="Times New Roman"/>
                <w:b/>
                <w:bCs/>
                <w:color w:val="000000"/>
                <w:sz w:val="24"/>
                <w:szCs w:val="24"/>
              </w:rPr>
              <w:t>Danh</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mục</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ngành</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nghề</w:t>
            </w:r>
            <w:proofErr w:type="spellEnd"/>
          </w:p>
        </w:tc>
        <w:tc>
          <w:tcPr>
            <w:tcW w:w="1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proofErr w:type="spellStart"/>
            <w:r w:rsidRPr="000D6CA8">
              <w:rPr>
                <w:rFonts w:ascii="Times New Roman" w:eastAsia="Times New Roman" w:hAnsi="Times New Roman"/>
                <w:b/>
                <w:bCs/>
                <w:color w:val="000000"/>
                <w:sz w:val="24"/>
                <w:szCs w:val="24"/>
              </w:rPr>
              <w:t>Tỷ</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lệ</w:t>
            </w:r>
            <w:proofErr w:type="spellEnd"/>
            <w:r w:rsidRPr="000D6CA8">
              <w:rPr>
                <w:rFonts w:ascii="Times New Roman" w:eastAsia="Times New Roman" w:hAnsi="Times New Roman"/>
                <w:b/>
                <w:bCs/>
                <w:color w:val="000000"/>
                <w:sz w:val="24"/>
                <w:szCs w:val="24"/>
              </w:rPr>
              <w:t xml:space="preserve"> % </w:t>
            </w:r>
            <w:proofErr w:type="spellStart"/>
            <w:r w:rsidRPr="000D6CA8">
              <w:rPr>
                <w:rFonts w:ascii="Times New Roman" w:eastAsia="Times New Roman" w:hAnsi="Times New Roman"/>
                <w:b/>
                <w:bCs/>
                <w:color w:val="000000"/>
                <w:sz w:val="24"/>
                <w:szCs w:val="24"/>
              </w:rPr>
              <w:t>tính</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thuế</w:t>
            </w:r>
            <w:proofErr w:type="spellEnd"/>
            <w:r w:rsidRPr="000D6CA8">
              <w:rPr>
                <w:rFonts w:ascii="Times New Roman" w:eastAsia="Times New Roman" w:hAnsi="Times New Roman"/>
                <w:b/>
                <w:bCs/>
                <w:color w:val="000000"/>
                <w:sz w:val="24"/>
                <w:szCs w:val="24"/>
              </w:rPr>
              <w:t xml:space="preserve"> GTGT</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proofErr w:type="spellStart"/>
            <w:r w:rsidRPr="000D6CA8">
              <w:rPr>
                <w:rFonts w:ascii="Times New Roman" w:eastAsia="Times New Roman" w:hAnsi="Times New Roman"/>
                <w:b/>
                <w:bCs/>
                <w:color w:val="000000"/>
                <w:sz w:val="24"/>
                <w:szCs w:val="24"/>
              </w:rPr>
              <w:t>Thuế</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suất</w:t>
            </w:r>
            <w:proofErr w:type="spellEnd"/>
            <w:r w:rsidRPr="000D6CA8">
              <w:rPr>
                <w:rFonts w:ascii="Times New Roman" w:eastAsia="Times New Roman" w:hAnsi="Times New Roman"/>
                <w:b/>
                <w:bCs/>
                <w:color w:val="000000"/>
                <w:sz w:val="24"/>
                <w:szCs w:val="24"/>
              </w:rPr>
              <w:t xml:space="preserve"> </w:t>
            </w:r>
            <w:proofErr w:type="spellStart"/>
            <w:r w:rsidRPr="000D6CA8">
              <w:rPr>
                <w:rFonts w:ascii="Times New Roman" w:eastAsia="Times New Roman" w:hAnsi="Times New Roman"/>
                <w:b/>
                <w:bCs/>
                <w:color w:val="000000"/>
                <w:sz w:val="24"/>
                <w:szCs w:val="24"/>
              </w:rPr>
              <w:t>thuế</w:t>
            </w:r>
            <w:proofErr w:type="spellEnd"/>
            <w:r w:rsidRPr="000D6CA8">
              <w:rPr>
                <w:rFonts w:ascii="Times New Roman" w:eastAsia="Times New Roman" w:hAnsi="Times New Roman"/>
                <w:b/>
                <w:bCs/>
                <w:color w:val="000000"/>
                <w:sz w:val="24"/>
                <w:szCs w:val="24"/>
              </w:rPr>
              <w:t xml:space="preserve"> TNCN</w:t>
            </w:r>
          </w:p>
        </w:tc>
      </w:tr>
      <w:tr w:rsidR="000D6CA8" w:rsidRPr="000D6CA8" w:rsidTr="000E29C6">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1</w:t>
            </w:r>
            <w:r w:rsidRPr="000D6CA8">
              <w:rPr>
                <w:rFonts w:ascii="Times New Roman" w:eastAsia="Times New Roman" w:hAnsi="Times New Roman"/>
                <w:b/>
                <w:bCs/>
                <w:color w:val="000000"/>
                <w:sz w:val="24"/>
                <w:szCs w:val="24"/>
              </w:rPr>
              <w:t>.</w:t>
            </w: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Phân phối, cung cấp hàng hoá</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0,5%</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Hoạt động bán buôn, bán lẻ các loại hàng hóa (trừ giá trị hàng hóa đại lý bán đúng giá hưởng hoa hồng).</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tc>
      </w:tr>
      <w:tr w:rsidR="000D6CA8" w:rsidRPr="000D6CA8" w:rsidTr="000E29C6">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2</w:t>
            </w:r>
            <w:r w:rsidRPr="000D6CA8">
              <w:rPr>
                <w:rFonts w:ascii="Times New Roman" w:eastAsia="Times New Roman" w:hAnsi="Times New Roman"/>
                <w:b/>
                <w:bCs/>
                <w:color w:val="000000"/>
                <w:sz w:val="24"/>
                <w:szCs w:val="24"/>
              </w:rPr>
              <w:t>.</w:t>
            </w: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Dịch vụ, xây dựng không bao thầu nguyên vật liệu</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lưu trú gồm: Hoạt động cung cấp cơ sở lưu trú ngắn hạn cho khách du lịch, khách vãng lai khác; hoạt động cung cấp cơ sở lưu trú dài hạn cho sinh viên, công nhân và những đối tượng tương tự; hoạt động cung cấp cả cơ sở lưu trú, dịch vụ ăn uống và/hoặc các phương tiện giải trí. Hoạt động lưu trú không bao gồm: Hoạt động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bốc xếp hàng hoá và hoạt động dịch vụ hỗ trợ khác liên quan đến vận tải như kinh doanh bến bãi, bán vé, trông giữ phương tiện;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bưu chính, chuyển phát thư tín và bưu kiện;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môi giới, đấu giá và hoa hồng đại lý;</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tư vấn pháp luật, tư vấn tài chính, kế toán, kiểm toán; dịch vụ làm thủ tục hành chính thuế, hải quan;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xử lý dữ liệu, cho thuê cổng thông tin, thiết bị công nghệ thông tin, viễn thông;</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hỗ trợ văn phòng và các dịch vụ hỗ trợ kinh doanh khác;</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tắm hơi, massage, karaoke, vũ trường, bi-a, internet, game;</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lastRenderedPageBreak/>
              <w:t>- Dịch vụ may đo, giặt là; Cắt tóc, làm đầu, gội đầu;</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sửa chữa khác bao gồm: sửa chữa máy vi tính và các đồ dùng gia đình;</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tư vấn, thiết kế, giám sát thi công xây dựng cơ bản;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Các dịch vụ khác;</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Xây dựng, lắp đặt không bao thầu nguyên vật liệu (bao gồm cả lắp đặt máy móc, thiết bị công nghiệp).</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lastRenderedPageBreak/>
              <w:t>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2%</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 C</w:t>
            </w:r>
            <w:r w:rsidRPr="000D6CA8">
              <w:rPr>
                <w:rFonts w:ascii="Times New Roman" w:eastAsia="Times New Roman" w:hAnsi="Times New Roman"/>
                <w:color w:val="000000"/>
                <w:sz w:val="24"/>
                <w:szCs w:val="24"/>
                <w:lang w:val="am-ET"/>
              </w:rPr>
              <w:t>ho thuê tài sản gồm:</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w:t>
            </w:r>
            <w:r w:rsidRPr="000D6CA8">
              <w:rPr>
                <w:rFonts w:ascii="Times New Roman" w:eastAsia="Times New Roman" w:hAnsi="Times New Roman"/>
                <w:color w:val="000000"/>
                <w:sz w:val="24"/>
                <w:szCs w:val="24"/>
                <w:lang w:val="nb-NO"/>
              </w:rPr>
              <w:t>C</w:t>
            </w:r>
            <w:r w:rsidRPr="000D6CA8">
              <w:rPr>
                <w:rFonts w:ascii="Times New Roman" w:eastAsia="Times New Roman" w:hAnsi="Times New Roman"/>
                <w:color w:val="000000"/>
                <w:sz w:val="24"/>
                <w:szCs w:val="24"/>
                <w:lang w:val="am-ET"/>
              </w:rPr>
              <w:t>ho thuê nhà, đất, cửa hàng, nhà xưởng</w:t>
            </w:r>
            <w:r w:rsidRPr="000D6CA8">
              <w:rPr>
                <w:rFonts w:ascii="Times New Roman" w:eastAsia="Times New Roman" w:hAnsi="Times New Roman"/>
                <w:color w:val="000000"/>
                <w:sz w:val="24"/>
                <w:szCs w:val="24"/>
                <w:lang w:val="nb-NO"/>
              </w:rPr>
              <w:t>, kho bãi trừ dịch vụ lưu trú</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nb-NO"/>
              </w:rPr>
              <w:t>+ C</w:t>
            </w:r>
            <w:r w:rsidRPr="000D6CA8">
              <w:rPr>
                <w:rFonts w:ascii="Times New Roman" w:eastAsia="Times New Roman" w:hAnsi="Times New Roman"/>
                <w:color w:val="000000"/>
                <w:sz w:val="24"/>
                <w:szCs w:val="24"/>
                <w:lang w:val="am-ET"/>
              </w:rPr>
              <w:t>ho thuê </w:t>
            </w:r>
            <w:r w:rsidRPr="000D6CA8">
              <w:rPr>
                <w:rFonts w:ascii="Times New Roman" w:eastAsia="Times New Roman" w:hAnsi="Times New Roman"/>
                <w:color w:val="000000"/>
                <w:sz w:val="24"/>
                <w:szCs w:val="24"/>
                <w:lang w:val="nb-NO"/>
              </w:rPr>
              <w:t>phương tiện vận tải, máy móc thiết bị không kèm theo người điều khiển.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nb-NO"/>
              </w:rPr>
              <w:t>+ Cho thuê tài sản khác không kèm theo dịch vụ</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5%</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Làm đại lý xổ số, đại lý bảo hiểm, bán hàng đa cấp</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5%</w:t>
            </w:r>
          </w:p>
        </w:tc>
      </w:tr>
      <w:tr w:rsidR="000D6CA8" w:rsidRPr="000D6CA8" w:rsidTr="000E29C6">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3</w:t>
            </w:r>
            <w:r w:rsidRPr="000D6CA8">
              <w:rPr>
                <w:rFonts w:ascii="Times New Roman" w:eastAsia="Times New Roman" w:hAnsi="Times New Roman"/>
                <w:b/>
                <w:bCs/>
                <w:color w:val="000000"/>
                <w:sz w:val="24"/>
                <w:szCs w:val="24"/>
              </w:rPr>
              <w:t>.</w:t>
            </w: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Sản xuất, vận tải, dịch vụ có gắn với hàng hoá, xây dựng có bao thầu nguyên vật liệu</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1,5%</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Sản xuất, gia công, chế biến sản phẩm hàng hóa;</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Khai thác, chế biến khoáng sản;</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Vận tải hàng hóa, vận tải hành khách;</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kèm theo bán hàng hóa như dịch vụ đào tạo, bảo dưỡng, chuyển giao công nghệ kèm theo bán sản phẩm;</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ăn uống;</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Dịch vụ sửa chữa và bảo dưỡng máy móc thiết bị, phương tiện vận tải, ô tô, mô tô, xe máy và xe có động cơ khác;</w:t>
            </w:r>
          </w:p>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Xây dựng, lắp đặt có bao thầu nguyên vật liệu (bao gồm cả lắp đặt máy móc, thiết bị công nghiệp).</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tc>
      </w:tr>
      <w:tr w:rsidR="000D6CA8" w:rsidRPr="000D6CA8" w:rsidTr="000E29C6">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4</w:t>
            </w:r>
            <w:r w:rsidRPr="000D6CA8">
              <w:rPr>
                <w:rFonts w:ascii="Times New Roman" w:eastAsia="Times New Roman" w:hAnsi="Times New Roman"/>
                <w:b/>
                <w:bCs/>
                <w:color w:val="000000"/>
                <w:sz w:val="24"/>
                <w:szCs w:val="24"/>
              </w:rPr>
              <w:t>.</w:t>
            </w: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Hoạt động kinh doanh khác</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1%</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Các hoạt động khác chưa được liệt kê ở các nhóm 1, 2, 3 nêu trên.</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rPr>
              <w:t>2%</w:t>
            </w:r>
          </w:p>
        </w:tc>
        <w:tc>
          <w:tcPr>
            <w:tcW w:w="9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w:t>
            </w:r>
          </w:p>
        </w:tc>
      </w:tr>
      <w:tr w:rsidR="000D6CA8" w:rsidRPr="000D6CA8" w:rsidTr="000E29C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c>
          <w:tcPr>
            <w:tcW w:w="6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color w:val="000000"/>
                <w:sz w:val="24"/>
                <w:szCs w:val="24"/>
                <w:lang w:val="am-ET"/>
              </w:rPr>
              <w:t>- Các dịch vụ khác không chịu thuế GTGT</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6CA8" w:rsidRPr="000D6CA8" w:rsidRDefault="000D6CA8" w:rsidP="000E29C6">
            <w:pPr>
              <w:spacing w:after="120" w:line="234" w:lineRule="atLeast"/>
              <w:jc w:val="center"/>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w:t>
            </w:r>
          </w:p>
        </w:tc>
        <w:tc>
          <w:tcPr>
            <w:tcW w:w="0" w:type="auto"/>
            <w:vMerge/>
            <w:tcBorders>
              <w:top w:val="nil"/>
              <w:left w:val="nil"/>
              <w:bottom w:val="single" w:sz="8" w:space="0" w:color="auto"/>
              <w:right w:val="single" w:sz="8" w:space="0" w:color="auto"/>
            </w:tcBorders>
            <w:shd w:val="clear" w:color="auto" w:fill="FFFFFF"/>
            <w:vAlign w:val="center"/>
            <w:hideMark/>
          </w:tcPr>
          <w:p w:rsidR="000D6CA8" w:rsidRPr="000D6CA8" w:rsidRDefault="000D6CA8" w:rsidP="000E29C6">
            <w:pPr>
              <w:spacing w:after="0" w:line="240" w:lineRule="auto"/>
              <w:rPr>
                <w:rFonts w:ascii="Times New Roman" w:eastAsia="Times New Roman" w:hAnsi="Times New Roman"/>
                <w:color w:val="000000"/>
                <w:sz w:val="24"/>
                <w:szCs w:val="24"/>
              </w:rPr>
            </w:pPr>
          </w:p>
        </w:tc>
      </w:tr>
    </w:tbl>
    <w:p w:rsidR="000D6CA8" w:rsidRPr="000D6CA8" w:rsidRDefault="000D6CA8" w:rsidP="000D6CA8">
      <w:pPr>
        <w:shd w:val="clear" w:color="auto" w:fill="FFFFFF"/>
        <w:spacing w:after="120" w:line="234" w:lineRule="atLeast"/>
        <w:rPr>
          <w:rFonts w:ascii="Times New Roman" w:eastAsia="Times New Roman" w:hAnsi="Times New Roman"/>
          <w:color w:val="000000"/>
          <w:sz w:val="24"/>
          <w:szCs w:val="24"/>
        </w:rPr>
      </w:pPr>
      <w:r w:rsidRPr="000D6CA8">
        <w:rPr>
          <w:rFonts w:ascii="Times New Roman" w:eastAsia="Times New Roman" w:hAnsi="Times New Roman"/>
          <w:b/>
          <w:bCs/>
          <w:color w:val="000000"/>
          <w:sz w:val="24"/>
          <w:szCs w:val="24"/>
          <w:lang w:val="am-ET"/>
        </w:rPr>
        <w:t> </w:t>
      </w:r>
    </w:p>
    <w:p w:rsidR="000D6CA8" w:rsidRPr="00D66F39" w:rsidRDefault="000D6CA8" w:rsidP="000D6CA8">
      <w:pPr>
        <w:rPr>
          <w:szCs w:val="28"/>
        </w:rPr>
      </w:pPr>
    </w:p>
    <w:p w:rsidR="00B70F49" w:rsidRPr="000D6CA8" w:rsidRDefault="00B70F49" w:rsidP="000D6CA8"/>
    <w:sectPr w:rsidR="00B70F49" w:rsidRPr="000D6CA8">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0D6CA8"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0D6CA8">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0D6CA8"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0D6CA8"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0D6CA8" w:rsidP="004D651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A67571" w:rsidRPr="00A67571" w:rsidRDefault="000D6CA8"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0D6CA8"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0D6CA8">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CA8"/>
    <w:rsid w:val="000D6CA8"/>
    <w:rsid w:val="00B70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A8"/>
    <w:rPr>
      <w:rFonts w:ascii="Calibri" w:eastAsia="Calibri" w:hAnsi="Calibri" w:cs="Times New Roman"/>
    </w:rPr>
  </w:style>
  <w:style w:type="paragraph" w:styleId="Heading6">
    <w:name w:val="heading 6"/>
    <w:basedOn w:val="Normal"/>
    <w:next w:val="Normal"/>
    <w:link w:val="Heading6Char"/>
    <w:semiHidden/>
    <w:unhideWhenUsed/>
    <w:qFormat/>
    <w:rsid w:val="000D6CA8"/>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CA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D6CA8"/>
  </w:style>
  <w:style w:type="character" w:customStyle="1" w:styleId="Heading6Char">
    <w:name w:val="Heading 6 Char"/>
    <w:basedOn w:val="DefaultParagraphFont"/>
    <w:link w:val="Heading6"/>
    <w:semiHidden/>
    <w:rsid w:val="000D6CA8"/>
    <w:rPr>
      <w:rFonts w:ascii="Calibri" w:eastAsia="Times New Roman" w:hAnsi="Calibri" w:cs="Times New Roman"/>
      <w:b/>
      <w:bCs/>
      <w:lang/>
    </w:rPr>
  </w:style>
  <w:style w:type="character" w:styleId="Hyperlink">
    <w:name w:val="Hyperlink"/>
    <w:uiPriority w:val="99"/>
    <w:unhideWhenUsed/>
    <w:rsid w:val="000D6CA8"/>
    <w:rPr>
      <w:color w:val="0000FF"/>
      <w:u w:val="single"/>
    </w:rPr>
  </w:style>
  <w:style w:type="paragraph" w:styleId="Header">
    <w:name w:val="header"/>
    <w:basedOn w:val="Normal"/>
    <w:link w:val="HeaderChar"/>
    <w:unhideWhenUsed/>
    <w:rsid w:val="000D6CA8"/>
    <w:pPr>
      <w:tabs>
        <w:tab w:val="center" w:pos="4680"/>
        <w:tab w:val="right" w:pos="9360"/>
      </w:tabs>
    </w:pPr>
    <w:rPr>
      <w:lang/>
    </w:rPr>
  </w:style>
  <w:style w:type="character" w:customStyle="1" w:styleId="HeaderChar">
    <w:name w:val="Header Char"/>
    <w:basedOn w:val="DefaultParagraphFont"/>
    <w:link w:val="Header"/>
    <w:rsid w:val="000D6CA8"/>
    <w:rPr>
      <w:rFonts w:ascii="Calibri" w:eastAsia="Calibri" w:hAnsi="Calibri" w:cs="Times New Roman"/>
      <w:lang/>
    </w:rPr>
  </w:style>
  <w:style w:type="paragraph" w:styleId="Footer">
    <w:name w:val="footer"/>
    <w:basedOn w:val="Normal"/>
    <w:link w:val="FooterChar"/>
    <w:uiPriority w:val="99"/>
    <w:unhideWhenUsed/>
    <w:rsid w:val="000D6CA8"/>
    <w:pPr>
      <w:tabs>
        <w:tab w:val="center" w:pos="4680"/>
        <w:tab w:val="right" w:pos="9360"/>
      </w:tabs>
    </w:pPr>
    <w:rPr>
      <w:lang/>
    </w:rPr>
  </w:style>
  <w:style w:type="character" w:customStyle="1" w:styleId="FooterChar">
    <w:name w:val="Footer Char"/>
    <w:basedOn w:val="DefaultParagraphFont"/>
    <w:link w:val="Footer"/>
    <w:uiPriority w:val="99"/>
    <w:rsid w:val="000D6CA8"/>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divs>
    <w:div w:id="6958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443</Words>
  <Characters>2527</Characters>
  <Application>Microsoft Office Word</Application>
  <DocSecurity>0</DocSecurity>
  <Lines>21</Lines>
  <Paragraphs>5</Paragraphs>
  <ScaleCrop>false</ScaleCrop>
  <Company>Grizli777</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2015-07-17T02:02:00Z</dcterms:created>
  <dcterms:modified xsi:type="dcterms:W3CDTF">2015-07-17T02:10:00Z</dcterms:modified>
</cp:coreProperties>
</file>